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TFMC-POL-003</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PROCUREMENT POLICY</w:t>
      </w:r>
    </w:p>
    <w:p>
      <w:pPr>
        <w:jc w:val="center"/>
      </w:pPr>
      <w:r>
        <w:rPr>
          <w:i/>
          <w:color w:val="5A746F"/>
          <w:sz w:val="19"/>
        </w:rPr>
        <w:t>Goods, Services, and Works | Version 1.0</w:t>
      </w:r>
    </w:p>
    <w:p/>
    <w:p>
      <w:pPr>
        <w:spacing w:after="60"/>
      </w:pPr>
      <w:r>
        <w:rPr>
          <w:b w:val="0"/>
          <w:color w:val="5A746F"/>
          <w:sz w:val="21"/>
        </w:rPr>
        <w:t>Effective Date: 1 January 2026  |  Review Date: 1 January 2027  |  Approved by: Board of Directors, TFMC</w:t>
      </w:r>
    </w:p>
    <w:p>
      <w:pPr>
        <w:spacing w:before="160" w:after="40"/>
        <w:pBdr>
          <w:bottom w:val="single" w:sz="4" w:space="1" w:color="005F60"/>
        </w:pBdr>
      </w:pPr>
      <w:r>
        <w:rPr>
          <w:b/>
          <w:color w:val="005F60"/>
          <w:sz w:val="23"/>
        </w:rPr>
        <w:t>1. PURPOSE &amp; OBJECTIVES</w:t>
      </w:r>
    </w:p>
    <w:p>
      <w:pPr>
        <w:spacing w:after="60"/>
      </w:pPr>
      <w:r>
        <w:rPr>
          <w:b w:val="0"/>
          <w:sz w:val="21"/>
        </w:rPr>
        <w:t>This Procurement Policy establishes the principles, procedures, and thresholds governing the procurement of goods, services, and works by Tim's Family Medical Clinic Limited (TFMC). It aims to ensure:</w:t>
      </w:r>
    </w:p>
    <w:p>
      <w:pPr>
        <w:pStyle w:val="ListBullet"/>
        <w:spacing w:after="40"/>
      </w:pPr>
      <w:r>
        <w:rPr>
          <w:sz w:val="21"/>
        </w:rPr>
        <w:t>Value for money through competitive procurement</w:t>
      </w:r>
    </w:p>
    <w:p>
      <w:pPr>
        <w:pStyle w:val="ListBullet"/>
        <w:spacing w:after="40"/>
      </w:pPr>
      <w:r>
        <w:rPr>
          <w:sz w:val="21"/>
        </w:rPr>
        <w:t>Transparency and accountability in all purchasing decisions</w:t>
      </w:r>
    </w:p>
    <w:p>
      <w:pPr>
        <w:pStyle w:val="ListBullet"/>
        <w:spacing w:after="40"/>
      </w:pPr>
      <w:r>
        <w:rPr>
          <w:sz w:val="21"/>
        </w:rPr>
        <w:t>Fair and equal treatment of all suppliers</w:t>
      </w:r>
    </w:p>
    <w:p>
      <w:pPr>
        <w:pStyle w:val="ListBullet"/>
        <w:spacing w:after="40"/>
      </w:pPr>
      <w:r>
        <w:rPr>
          <w:sz w:val="21"/>
        </w:rPr>
        <w:t>Compliance with Kenya's Public Procurement and Asset Disposal Act 2015 where applicable</w:t>
      </w:r>
    </w:p>
    <w:p>
      <w:pPr>
        <w:pStyle w:val="ListBullet"/>
        <w:spacing w:after="40"/>
      </w:pPr>
      <w:r>
        <w:rPr>
          <w:sz w:val="21"/>
        </w:rPr>
        <w:t>Prevention of corruption, conflict of interest, and fraud</w:t>
      </w:r>
    </w:p>
    <w:p>
      <w:pPr>
        <w:spacing w:before="160" w:after="40"/>
        <w:pBdr>
          <w:bottom w:val="single" w:sz="4" w:space="1" w:color="005F60"/>
        </w:pBdr>
      </w:pPr>
      <w:r>
        <w:rPr>
          <w:b/>
          <w:color w:val="005F60"/>
          <w:sz w:val="23"/>
        </w:rPr>
        <w:t>2. SCOPE</w:t>
      </w:r>
    </w:p>
    <w:p>
      <w:pPr>
        <w:spacing w:after="60"/>
      </w:pPr>
      <w:r>
        <w:rPr>
          <w:b w:val="0"/>
          <w:sz w:val="21"/>
        </w:rPr>
        <w:t>This Policy applies to all TFMC staff, management, directors, and contractors involved in any procurement activity on behalf of TFMC, including: pharmaceuticals, medical equipment, consumables, facility services, IT, furniture, stationery, catering, and all other goods and services.</w:t>
      </w:r>
    </w:p>
    <w:p>
      <w:pPr>
        <w:spacing w:before="160" w:after="40"/>
        <w:pBdr>
          <w:bottom w:val="single" w:sz="4" w:space="1" w:color="005F60"/>
        </w:pBdr>
      </w:pPr>
      <w:r>
        <w:rPr>
          <w:b/>
          <w:color w:val="005F60"/>
          <w:sz w:val="23"/>
        </w:rPr>
        <w:t>3. PROCUREMENT THRESHOLDS &amp; METHODS</w:t>
      </w:r>
    </w:p>
    <w:tbl>
      <w:tblPr>
        <w:tblStyle w:val="TableGrid"/>
        <w:tblW w:type="auto" w:w="0"/>
        <w:tblLook w:firstColumn="1" w:firstRow="1" w:lastColumn="0" w:lastRow="0" w:noHBand="0" w:noVBand="1" w:val="04A0"/>
      </w:tblPr>
      <w:tblGrid>
        <w:gridCol w:w="2268"/>
        <w:gridCol w:w="2268"/>
        <w:gridCol w:w="2268"/>
        <w:gridCol w:w="2268"/>
      </w:tblGrid>
      <w:tr>
        <w:tc>
          <w:tcPr>
            <w:tcW w:type="dxa" w:w="2268"/>
            <w:shd w:val="clear" w:color="auto" w:fill="005F60"/>
          </w:tcPr>
          <w:p>
            <w:r>
              <w:rPr>
                <w:b/>
                <w:color w:val="FFFFFF"/>
                <w:sz w:val="18"/>
              </w:rPr>
              <w:t>Value Threshold (KES)</w:t>
            </w:r>
          </w:p>
        </w:tc>
        <w:tc>
          <w:tcPr>
            <w:tcW w:type="dxa" w:w="2268"/>
            <w:shd w:val="clear" w:color="auto" w:fill="005F60"/>
          </w:tcPr>
          <w:p>
            <w:r>
              <w:rPr>
                <w:b/>
                <w:color w:val="FFFFFF"/>
                <w:sz w:val="18"/>
              </w:rPr>
              <w:t>Method</w:t>
            </w:r>
          </w:p>
        </w:tc>
        <w:tc>
          <w:tcPr>
            <w:tcW w:type="dxa" w:w="2268"/>
            <w:shd w:val="clear" w:color="auto" w:fill="005F60"/>
          </w:tcPr>
          <w:p>
            <w:r>
              <w:rPr>
                <w:b/>
                <w:color w:val="FFFFFF"/>
                <w:sz w:val="18"/>
              </w:rPr>
              <w:t>Approver</w:t>
            </w:r>
          </w:p>
        </w:tc>
        <w:tc>
          <w:tcPr>
            <w:tcW w:type="dxa" w:w="2268"/>
            <w:shd w:val="clear" w:color="auto" w:fill="005F60"/>
          </w:tcPr>
          <w:p>
            <w:r>
              <w:rPr>
                <w:b/>
                <w:color w:val="FFFFFF"/>
                <w:sz w:val="18"/>
              </w:rPr>
              <w:t>Min. Quotations</w:t>
            </w:r>
          </w:p>
        </w:tc>
      </w:tr>
      <w:tr>
        <w:tc>
          <w:tcPr>
            <w:tcW w:type="dxa" w:w="2268"/>
            <w:shd w:val="clear" w:color="auto" w:fill="F4FAF7"/>
          </w:tcPr>
          <w:p>
            <w:r>
              <w:rPr>
                <w:b/>
                <w:color w:val="005F60"/>
                <w:sz w:val="18"/>
              </w:rPr>
              <w:t>Below 10,000</w:t>
            </w:r>
          </w:p>
        </w:tc>
        <w:tc>
          <w:tcPr>
            <w:tcW w:type="dxa" w:w="2268"/>
            <w:shd w:val="clear" w:color="auto" w:fill="F4FAF7"/>
          </w:tcPr>
          <w:p>
            <w:r>
              <w:rPr>
                <w:b w:val="0"/>
                <w:sz w:val="18"/>
              </w:rPr>
              <w:t>Petty cash / direct purchase</w:t>
            </w:r>
          </w:p>
        </w:tc>
        <w:tc>
          <w:tcPr>
            <w:tcW w:type="dxa" w:w="2268"/>
            <w:shd w:val="clear" w:color="auto" w:fill="F4FAF7"/>
          </w:tcPr>
          <w:p>
            <w:r>
              <w:rPr>
                <w:b w:val="0"/>
                <w:sz w:val="18"/>
              </w:rPr>
              <w:t>Department Head</w:t>
            </w:r>
          </w:p>
        </w:tc>
        <w:tc>
          <w:tcPr>
            <w:tcW w:type="dxa" w:w="2268"/>
            <w:shd w:val="clear" w:color="auto" w:fill="F4FAF7"/>
          </w:tcPr>
          <w:p>
            <w:r>
              <w:rPr>
                <w:b w:val="0"/>
                <w:sz w:val="18"/>
              </w:rPr>
              <w:t>1 verbal quote</w:t>
            </w:r>
          </w:p>
        </w:tc>
      </w:tr>
      <w:tr>
        <w:tc>
          <w:tcPr>
            <w:tcW w:type="dxa" w:w="2268"/>
            <w:shd w:val="clear" w:color="auto" w:fill="FFFFFF"/>
          </w:tcPr>
          <w:p>
            <w:r>
              <w:rPr>
                <w:b/>
                <w:color w:val="005F60"/>
                <w:sz w:val="18"/>
              </w:rPr>
              <w:t>10,001 – 100,000</w:t>
            </w:r>
          </w:p>
        </w:tc>
        <w:tc>
          <w:tcPr>
            <w:tcW w:type="dxa" w:w="2268"/>
            <w:shd w:val="clear" w:color="auto" w:fill="FFFFFF"/>
          </w:tcPr>
          <w:p>
            <w:r>
              <w:rPr>
                <w:b w:val="0"/>
                <w:sz w:val="18"/>
              </w:rPr>
              <w:t>Request for Quotation (RFQ)</w:t>
            </w:r>
          </w:p>
        </w:tc>
        <w:tc>
          <w:tcPr>
            <w:tcW w:type="dxa" w:w="2268"/>
            <w:shd w:val="clear" w:color="auto" w:fill="FFFFFF"/>
          </w:tcPr>
          <w:p>
            <w:r>
              <w:rPr>
                <w:b w:val="0"/>
                <w:sz w:val="18"/>
              </w:rPr>
              <w:t>Operations Manager</w:t>
            </w:r>
          </w:p>
        </w:tc>
        <w:tc>
          <w:tcPr>
            <w:tcW w:type="dxa" w:w="2268"/>
            <w:shd w:val="clear" w:color="auto" w:fill="FFFFFF"/>
          </w:tcPr>
          <w:p>
            <w:r>
              <w:rPr>
                <w:b w:val="0"/>
                <w:sz w:val="18"/>
              </w:rPr>
              <w:t>3 written quotes</w:t>
            </w:r>
          </w:p>
        </w:tc>
      </w:tr>
      <w:tr>
        <w:tc>
          <w:tcPr>
            <w:tcW w:type="dxa" w:w="2268"/>
            <w:shd w:val="clear" w:color="auto" w:fill="F4FAF7"/>
          </w:tcPr>
          <w:p>
            <w:r>
              <w:rPr>
                <w:b/>
                <w:color w:val="005F60"/>
                <w:sz w:val="18"/>
              </w:rPr>
              <w:t>100,001 – 500,000</w:t>
            </w:r>
          </w:p>
        </w:tc>
        <w:tc>
          <w:tcPr>
            <w:tcW w:type="dxa" w:w="2268"/>
            <w:shd w:val="clear" w:color="auto" w:fill="F4FAF7"/>
          </w:tcPr>
          <w:p>
            <w:r>
              <w:rPr>
                <w:b w:val="0"/>
                <w:sz w:val="18"/>
              </w:rPr>
              <w:t>Restricted Tender</w:t>
            </w:r>
          </w:p>
        </w:tc>
        <w:tc>
          <w:tcPr>
            <w:tcW w:type="dxa" w:w="2268"/>
            <w:shd w:val="clear" w:color="auto" w:fill="F4FAF7"/>
          </w:tcPr>
          <w:p>
            <w:r>
              <w:rPr>
                <w:b w:val="0"/>
                <w:sz w:val="18"/>
              </w:rPr>
              <w:t>Medical Director</w:t>
            </w:r>
          </w:p>
        </w:tc>
        <w:tc>
          <w:tcPr>
            <w:tcW w:type="dxa" w:w="2268"/>
            <w:shd w:val="clear" w:color="auto" w:fill="F4FAF7"/>
          </w:tcPr>
          <w:p>
            <w:r>
              <w:rPr>
                <w:b w:val="0"/>
                <w:sz w:val="18"/>
              </w:rPr>
              <w:t>5 sealed quotes</w:t>
            </w:r>
          </w:p>
        </w:tc>
      </w:tr>
      <w:tr>
        <w:tc>
          <w:tcPr>
            <w:tcW w:type="dxa" w:w="2268"/>
            <w:shd w:val="clear" w:color="auto" w:fill="FFFFFF"/>
          </w:tcPr>
          <w:p>
            <w:r>
              <w:rPr>
                <w:b/>
                <w:color w:val="005F60"/>
                <w:sz w:val="18"/>
              </w:rPr>
              <w:t>500,001 – 5,000,000</w:t>
            </w:r>
          </w:p>
        </w:tc>
        <w:tc>
          <w:tcPr>
            <w:tcW w:type="dxa" w:w="2268"/>
            <w:shd w:val="clear" w:color="auto" w:fill="FFFFFF"/>
          </w:tcPr>
          <w:p>
            <w:r>
              <w:rPr>
                <w:b w:val="0"/>
                <w:sz w:val="18"/>
              </w:rPr>
              <w:t>Open Tender</w:t>
            </w:r>
          </w:p>
        </w:tc>
        <w:tc>
          <w:tcPr>
            <w:tcW w:type="dxa" w:w="2268"/>
            <w:shd w:val="clear" w:color="auto" w:fill="FFFFFF"/>
          </w:tcPr>
          <w:p>
            <w:r>
              <w:rPr>
                <w:b w:val="0"/>
                <w:sz w:val="18"/>
              </w:rPr>
              <w:t>CEO + Board Finance</w:t>
            </w:r>
          </w:p>
        </w:tc>
        <w:tc>
          <w:tcPr>
            <w:tcW w:type="dxa" w:w="2268"/>
            <w:shd w:val="clear" w:color="auto" w:fill="FFFFFF"/>
          </w:tcPr>
          <w:p>
            <w:r>
              <w:rPr>
                <w:b w:val="0"/>
                <w:sz w:val="18"/>
              </w:rPr>
              <w:t>Open competitive tender</w:t>
            </w:r>
          </w:p>
        </w:tc>
      </w:tr>
      <w:tr>
        <w:tc>
          <w:tcPr>
            <w:tcW w:type="dxa" w:w="2268"/>
            <w:shd w:val="clear" w:color="auto" w:fill="F4FAF7"/>
          </w:tcPr>
          <w:p>
            <w:r>
              <w:rPr>
                <w:b/>
                <w:color w:val="005F60"/>
                <w:sz w:val="18"/>
              </w:rPr>
              <w:t>Above 5,000,000</w:t>
            </w:r>
          </w:p>
        </w:tc>
        <w:tc>
          <w:tcPr>
            <w:tcW w:type="dxa" w:w="2268"/>
            <w:shd w:val="clear" w:color="auto" w:fill="F4FAF7"/>
          </w:tcPr>
          <w:p>
            <w:r>
              <w:rPr>
                <w:b w:val="0"/>
                <w:sz w:val="18"/>
              </w:rPr>
              <w:t>Open Tender + Board approval</w:t>
            </w:r>
          </w:p>
        </w:tc>
        <w:tc>
          <w:tcPr>
            <w:tcW w:type="dxa" w:w="2268"/>
            <w:shd w:val="clear" w:color="auto" w:fill="F4FAF7"/>
          </w:tcPr>
          <w:p>
            <w:r>
              <w:rPr>
                <w:b w:val="0"/>
                <w:sz w:val="18"/>
              </w:rPr>
              <w:t>Full Board</w:t>
            </w:r>
          </w:p>
        </w:tc>
        <w:tc>
          <w:tcPr>
            <w:tcW w:type="dxa" w:w="2268"/>
            <w:shd w:val="clear" w:color="auto" w:fill="F4FAF7"/>
          </w:tcPr>
          <w:p>
            <w:r>
              <w:rPr>
                <w:b w:val="0"/>
                <w:sz w:val="18"/>
              </w:rPr>
              <w:t>Open competitive tender</w:t>
            </w:r>
          </w:p>
        </w:tc>
      </w:tr>
    </w:tbl>
    <w:p/>
    <w:p>
      <w:pPr>
        <w:spacing w:before="160" w:after="40"/>
        <w:pBdr>
          <w:bottom w:val="single" w:sz="4" w:space="1" w:color="005F60"/>
        </w:pBdr>
      </w:pPr>
      <w:r>
        <w:rPr>
          <w:b/>
          <w:color w:val="005F60"/>
          <w:sz w:val="23"/>
        </w:rPr>
        <w:t>4. SUPPLIER REQUIREMENTS</w:t>
      </w:r>
    </w:p>
    <w:p>
      <w:pPr>
        <w:spacing w:after="60"/>
      </w:pPr>
      <w:r>
        <w:rPr>
          <w:b w:val="0"/>
          <w:sz w:val="21"/>
        </w:rPr>
        <w:t>All TFMC suppliers must be registered on the TFMC Approved Vendor List. To be registered, suppliers must provide:</w:t>
      </w:r>
    </w:p>
    <w:p>
      <w:pPr>
        <w:pStyle w:val="ListBullet"/>
        <w:spacing w:after="40"/>
      </w:pPr>
      <w:r>
        <w:rPr>
          <w:sz w:val="21"/>
        </w:rPr>
        <w:t>Certificate of Incorporation / Business Registration</w:t>
      </w:r>
    </w:p>
    <w:p>
      <w:pPr>
        <w:pStyle w:val="ListBullet"/>
        <w:spacing w:after="40"/>
      </w:pPr>
      <w:r>
        <w:rPr>
          <w:sz w:val="21"/>
        </w:rPr>
        <w:t>Valid KRA Tax Compliance Certificate</w:t>
      </w:r>
    </w:p>
    <w:p>
      <w:pPr>
        <w:pStyle w:val="ListBullet"/>
        <w:spacing w:after="40"/>
      </w:pPr>
      <w:r>
        <w:rPr>
          <w:sz w:val="21"/>
        </w:rPr>
        <w:t>VAT registration (where applicable)</w:t>
      </w:r>
    </w:p>
    <w:p>
      <w:pPr>
        <w:pStyle w:val="ListBullet"/>
        <w:spacing w:after="40"/>
      </w:pPr>
      <w:r>
        <w:rPr>
          <w:sz w:val="21"/>
        </w:rPr>
        <w:t>Relevant professional licences (PPB for pharmaceuticals, KEBS for medical devices, etc.)</w:t>
      </w:r>
    </w:p>
    <w:p>
      <w:pPr>
        <w:pStyle w:val="ListBullet"/>
        <w:spacing w:after="40"/>
      </w:pPr>
      <w:r>
        <w:rPr>
          <w:sz w:val="21"/>
        </w:rPr>
        <w:t>References from at least 2 previous healthcare clients</w:t>
      </w:r>
    </w:p>
    <w:p>
      <w:pPr>
        <w:pStyle w:val="ListBullet"/>
        <w:spacing w:after="40"/>
      </w:pPr>
      <w:r>
        <w:rPr>
          <w:sz w:val="21"/>
        </w:rPr>
        <w:t>Signed Supplier Code of Conduct</w:t>
      </w:r>
    </w:p>
    <w:p>
      <w:pPr>
        <w:spacing w:before="160" w:after="40"/>
        <w:pBdr>
          <w:bottom w:val="single" w:sz="4" w:space="1" w:color="005F60"/>
        </w:pBdr>
      </w:pPr>
      <w:r>
        <w:rPr>
          <w:b/>
          <w:color w:val="005F60"/>
          <w:sz w:val="23"/>
        </w:rPr>
        <w:t>5. EVALUATION CRITERIA</w:t>
      </w:r>
    </w:p>
    <w:p>
      <w:pPr>
        <w:spacing w:after="60"/>
      </w:pPr>
      <w:r>
        <w:rPr>
          <w:b w:val="0"/>
          <w:sz w:val="21"/>
        </w:rPr>
        <w:t>All competitive procurements are evaluated on the following criteria:</w:t>
      </w:r>
    </w:p>
    <w:p>
      <w:pPr>
        <w:pStyle w:val="ListBullet"/>
        <w:spacing w:after="40"/>
      </w:pPr>
      <w:r>
        <w:rPr>
          <w:b/>
          <w:sz w:val="21"/>
        </w:rPr>
        <w:t xml:space="preserve">Technical (40%): </w:t>
      </w:r>
      <w:r>
        <w:rPr>
          <w:sz w:val="21"/>
        </w:rPr>
        <w:t>Technical Compliance: does the goods/service meet the specified requirements?</w:t>
      </w:r>
    </w:p>
    <w:p>
      <w:pPr>
        <w:pStyle w:val="ListBullet"/>
        <w:spacing w:after="40"/>
      </w:pPr>
      <w:r>
        <w:rPr>
          <w:b/>
          <w:sz w:val="21"/>
        </w:rPr>
        <w:t xml:space="preserve">Price (30%): </w:t>
      </w:r>
      <w:r>
        <w:rPr>
          <w:sz w:val="21"/>
        </w:rPr>
        <w:t>Price: total cost of ownership including delivery, installation, and maintenance</w:t>
      </w:r>
    </w:p>
    <w:p>
      <w:pPr>
        <w:pStyle w:val="ListBullet"/>
        <w:spacing w:after="40"/>
      </w:pPr>
      <w:r>
        <w:rPr>
          <w:b/>
          <w:sz w:val="21"/>
        </w:rPr>
        <w:t xml:space="preserve">Experience (15%): </w:t>
      </w:r>
      <w:r>
        <w:rPr>
          <w:sz w:val="21"/>
        </w:rPr>
        <w:t>Supplier Experience: track record, references, and financial stability</w:t>
      </w:r>
    </w:p>
    <w:p>
      <w:pPr>
        <w:pStyle w:val="ListBullet"/>
        <w:spacing w:after="40"/>
      </w:pPr>
      <w:r>
        <w:rPr>
          <w:b/>
          <w:sz w:val="21"/>
        </w:rPr>
        <w:t xml:space="preserve">Delivery (10%): </w:t>
      </w:r>
      <w:r>
        <w:rPr>
          <w:sz w:val="21"/>
        </w:rPr>
        <w:t>Delivery: lead time, reliability, and after-sales support</w:t>
      </w:r>
    </w:p>
    <w:p>
      <w:pPr>
        <w:pStyle w:val="ListBullet"/>
        <w:spacing w:after="40"/>
      </w:pPr>
      <w:r>
        <w:rPr>
          <w:b/>
          <w:sz w:val="21"/>
        </w:rPr>
        <w:t xml:space="preserve">Local Content (5%): </w:t>
      </w:r>
      <w:r>
        <w:rPr>
          <w:sz w:val="21"/>
        </w:rPr>
        <w:t>Preference for local Nairobi-based suppliers with a physical service centre</w:t>
      </w:r>
    </w:p>
    <w:p>
      <w:pPr>
        <w:spacing w:before="160" w:after="40"/>
        <w:pBdr>
          <w:bottom w:val="single" w:sz="4" w:space="1" w:color="005F60"/>
        </w:pBdr>
      </w:pPr>
      <w:r>
        <w:rPr>
          <w:b/>
          <w:color w:val="005F60"/>
          <w:sz w:val="23"/>
        </w:rPr>
        <w:t>6. CONFLICT OF INTEREST</w:t>
      </w:r>
    </w:p>
    <w:p>
      <w:pPr>
        <w:spacing w:after="60"/>
      </w:pPr>
      <w:r>
        <w:rPr>
          <w:b w:val="0"/>
          <w:sz w:val="21"/>
        </w:rPr>
        <w:t>Any TFMC staff member or director with a financial or personal interest in a potential supplier MUST declare this conflict in writing before any procurement process begins and must recuse themselves from the evaluation. Failure to declare a conflict of interest may result in disciplinary action including termination and referral to relevant authorities.</w:t>
      </w:r>
    </w:p>
    <w:p>
      <w:pPr>
        <w:spacing w:before="160" w:after="40"/>
        <w:pBdr>
          <w:bottom w:val="single" w:sz="4" w:space="1" w:color="005F60"/>
        </w:pBdr>
      </w:pPr>
      <w:r>
        <w:rPr>
          <w:b/>
          <w:color w:val="005F60"/>
          <w:sz w:val="23"/>
        </w:rPr>
        <w:t>7. ANTI-CORRUPTION &amp; GIFTS</w:t>
      </w:r>
    </w:p>
    <w:p>
      <w:pPr>
        <w:spacing w:after="60"/>
      </w:pPr>
      <w:r>
        <w:rPr>
          <w:b w:val="0"/>
          <w:sz w:val="21"/>
        </w:rPr>
        <w:t>TFMC has zero tolerance for bribery and corruption in procurement. Staff must not accept gifts, payments, entertainment, or any benefit from suppliers or potential suppliers beyond a token value of KES 1,000. Any offer above this amount must be reported to the Medical Director immediately.</w:t>
      </w:r>
    </w:p>
    <w:p>
      <w:pPr>
        <w:spacing w:before="160" w:after="40"/>
        <w:pBdr>
          <w:bottom w:val="single" w:sz="4" w:space="1" w:color="005F60"/>
        </w:pBdr>
      </w:pPr>
      <w:r>
        <w:rPr>
          <w:b/>
          <w:color w:val="005F60"/>
          <w:sz w:val="23"/>
        </w:rPr>
        <w:t>8. EMERGENCY PROCUREMENT</w:t>
      </w:r>
    </w:p>
    <w:p>
      <w:pPr>
        <w:spacing w:after="60"/>
      </w:pPr>
      <w:r>
        <w:rPr>
          <w:b w:val="0"/>
          <w:sz w:val="21"/>
        </w:rPr>
        <w:t>In genuine emergencies (e.g. urgent medical consumables to prevent patient harm), a single-source purchase may be made and retrospectively approved. The procuring officer must document the emergency, the justification for single-sourcing, and the steps taken to contain cost. Emergency procurement may not be used to circumvent this Policy.</w:t>
      </w:r>
    </w:p>
    <w:p>
      <w:pPr>
        <w:spacing w:before="160" w:after="40"/>
        <w:pBdr>
          <w:bottom w:val="single" w:sz="4" w:space="1" w:color="005F60"/>
        </w:pBdr>
      </w:pPr>
      <w:r>
        <w:rPr>
          <w:b/>
          <w:color w:val="005F60"/>
          <w:sz w:val="23"/>
        </w:rPr>
        <w:t>9. RECORD KEEPING</w:t>
      </w:r>
    </w:p>
    <w:p>
      <w:pPr>
        <w:spacing w:after="60"/>
      </w:pPr>
      <w:r>
        <w:rPr>
          <w:b w:val="0"/>
          <w:sz w:val="21"/>
        </w:rPr>
        <w:t>All procurement records (RFQs, quotations, evaluation matrices, LPOs, invoices, goods received notes) must be retained for a minimum of 7 years in TFMC's procurement filing system for audit purposes.</w:t>
      </w:r>
    </w:p>
    <w:p>
      <w:pPr>
        <w:spacing w:before="160" w:after="40"/>
        <w:pBdr>
          <w:bottom w:val="single" w:sz="4" w:space="1" w:color="005F60"/>
        </w:pBdr>
      </w:pPr>
      <w:r>
        <w:rPr>
          <w:b/>
          <w:color w:val="005F60"/>
          <w:sz w:val="23"/>
        </w:rPr>
        <w:t>10. DISPUTES</w:t>
      </w:r>
    </w:p>
    <w:p>
      <w:pPr>
        <w:spacing w:after="60"/>
      </w:pPr>
      <w:r>
        <w:rPr>
          <w:b w:val="0"/>
          <w:sz w:val="21"/>
        </w:rPr>
        <w:t>Unsuccessful bidders may lodge a written complaint to the Medical Director within 14 days of being notified of the outcome. TFMC will respond within 21 days. If unresolved, disputes may be referred to arbitration under the Arbitration Act 1995 (Kenya).</w:t>
      </w:r>
    </w:p>
    <w:p>
      <w:pPr>
        <w:spacing w:before="160" w:after="40"/>
        <w:pBdr>
          <w:bottom w:val="single" w:sz="4" w:space="1" w:color="005F60"/>
        </w:pBdr>
      </w:pPr>
      <w:r>
        <w:rPr>
          <w:b/>
          <w:color w:val="005F60"/>
          <w:sz w:val="23"/>
        </w:rPr>
        <w:t>11. POLICY REVIEW</w:t>
      </w:r>
    </w:p>
    <w:p>
      <w:pPr>
        <w:spacing w:after="60"/>
      </w:pPr>
      <w:r>
        <w:rPr>
          <w:b w:val="0"/>
          <w:sz w:val="21"/>
        </w:rPr>
        <w:t>This Policy is reviewed annually or when significant changes in TFMC's operations or Kenyan procurement law require amendment.</w:t>
      </w:r>
    </w:p>
    <w:p/>
    <w:tbl>
      <w:tblPr>
        <w:tblStyle w:val="TableGrid"/>
        <w:tblW w:type="auto" w:w="0"/>
        <w:tblLook w:firstColumn="1" w:firstRow="1" w:lastColumn="0" w:lastRow="0" w:noHBand="0" w:noVBand="1" w:val="04A0"/>
      </w:tblPr>
      <w:tblGrid>
        <w:gridCol w:w="4536"/>
        <w:gridCol w:w="4536"/>
      </w:tblGrid>
      <w:tr>
        <w:tc>
          <w:tcPr>
            <w:tcW w:type="dxa" w:w="4819"/>
            <w:shd w:val="clear" w:color="auto" w:fill="F4FAF7"/>
          </w:tcPr>
          <w:p>
            <w:r>
              <w:rPr>
                <w:sz w:val="18"/>
              </w:rPr>
              <w:t>_________________________</w:t>
            </w:r>
          </w:p>
        </w:tc>
        <w:tc>
          <w:tcPr>
            <w:tcW w:type="dxa" w:w="4819"/>
            <w:shd w:val="clear" w:color="auto" w:fill="F4FAF7"/>
          </w:tcPr>
          <w:p>
            <w:r>
              <w:rPr>
                <w:sz w:val="18"/>
              </w:rPr>
              <w:t>_________________________</w:t>
            </w:r>
          </w:p>
        </w:tc>
      </w:tr>
      <w:tr>
        <w:tc>
          <w:tcPr>
            <w:tcW w:type="dxa" w:w="4819"/>
            <w:shd w:val="clear" w:color="auto" w:fill="F4FAF7"/>
          </w:tcPr>
          <w:p>
            <w:r>
              <w:rPr>
                <w:b/>
                <w:color w:val="005F60"/>
                <w:sz w:val="18"/>
              </w:rPr>
              <w:t>Medical Director</w:t>
            </w:r>
          </w:p>
        </w:tc>
        <w:tc>
          <w:tcPr>
            <w:tcW w:type="dxa" w:w="4819"/>
            <w:shd w:val="clear" w:color="auto" w:fill="F4FAF7"/>
          </w:tcPr>
          <w:p>
            <w:r>
              <w:rPr>
                <w:b/>
                <w:color w:val="005F60"/>
                <w:sz w:val="18"/>
              </w:rPr>
              <w:t>Board Chairperson</w:t>
            </w:r>
          </w:p>
        </w:tc>
      </w:tr>
      <w:tr>
        <w:tc>
          <w:tcPr>
            <w:tcW w:type="dxa" w:w="4819"/>
            <w:shd w:val="clear" w:color="auto" w:fill="F4FAF7"/>
          </w:tcPr>
          <w:p>
            <w:r>
              <w:rPr>
                <w:sz w:val="17"/>
              </w:rPr>
              <w:t>Date: _________________</w:t>
            </w:r>
          </w:p>
        </w:tc>
        <w:tc>
          <w:tcPr>
            <w:tcW w:type="dxa" w:w="4819"/>
            <w:shd w:val="clear" w:color="auto" w:fill="F4FAF7"/>
          </w:tcPr>
          <w:p>
            <w:r>
              <w:rPr>
                <w:sz w:val="17"/>
              </w:rPr>
              <w:t>Date: _________________</w:t>
            </w:r>
          </w:p>
        </w:tc>
      </w:tr>
    </w:tbl>
    <w:p/>
    <w:p/>
    <w:p>
      <w:pPr>
        <w:pBdr>
          <w:bottom w:val="single" w:sz="4" w:space="1" w:color="D9EBE5"/>
        </w:pBdr>
      </w:pPr>
    </w:p>
    <w:p>
      <w:pPr>
        <w:jc w:val="center"/>
      </w:pPr>
      <w:r>
        <w:rPr>
          <w:i/>
          <w:color w:val="5A746F"/>
          <w:sz w:val="15"/>
        </w:rPr>
        <w:t>TFMC-POL-003 | Version 1.0 | Effective 1 Jan 2026 | Procurement enquiries: procurement@tfmc.co.ke | 0715 923 231</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