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024"/>
        <w:gridCol w:w="3024"/>
        <w:gridCol w:w="3024"/>
      </w:tblGrid>
      <w:tr>
        <w:tc>
          <w:tcPr>
            <w:tcW w:type="dxa" w:w="1417"/>
            <w:shd w:val="clear" w:color="auto" w:fill="FFFFFF"/>
            <w:vAlign w:val="center"/>
          </w:tcPr>
          <w:p>
            <w:pPr>
              <w:jc w:val="center"/>
            </w:pPr>
            <w:r>
              <w:drawing>
                <wp:inline xmlns:a="http://schemas.openxmlformats.org/drawingml/2006/main" xmlns:pic="http://schemas.openxmlformats.org/drawingml/2006/picture">
                  <wp:extent cx="792000" cy="527472"/>
                  <wp:docPr id="1" name="Picture 1"/>
                  <wp:cNvGraphicFramePr>
                    <a:graphicFrameLocks noChangeAspect="1"/>
                  </wp:cNvGraphicFramePr>
                  <a:graphic>
                    <a:graphicData uri="http://schemas.openxmlformats.org/drawingml/2006/picture">
                      <pic:pic>
                        <pic:nvPicPr>
                          <pic:cNvPr id="0" name="logo_white_bg_sm.png"/>
                          <pic:cNvPicPr/>
                        </pic:nvPicPr>
                        <pic:blipFill>
                          <a:blip r:embed="rId9"/>
                          <a:stretch>
                            <a:fillRect/>
                          </a:stretch>
                        </pic:blipFill>
                        <pic:spPr>
                          <a:xfrm>
                            <a:off x="0" y="0"/>
                            <a:ext cx="792000" cy="527472"/>
                          </a:xfrm>
                          <a:prstGeom prst="rect"/>
                        </pic:spPr>
                      </pic:pic>
                    </a:graphicData>
                  </a:graphic>
                </wp:inline>
              </w:drawing>
            </w:r>
          </w:p>
        </w:tc>
        <w:tc>
          <w:tcPr>
            <w:tcW w:type="dxa" w:w="5953"/>
            <w:shd w:val="clear" w:color="auto" w:fill="005F60"/>
            <w:vAlign w:val="center"/>
          </w:tcPr>
          <w:p>
            <w:r>
              <w:rPr>
                <w:b/>
                <w:color w:val="FFFFFF"/>
                <w:sz w:val="24"/>
              </w:rPr>
              <w:t>TIM'S FAMILY MEDICAL CLINIC</w:t>
            </w:r>
          </w:p>
          <w:p>
            <w:r>
              <w:rPr>
                <w:i/>
                <w:color w:val="AADDCC"/>
                <w:sz w:val="16"/>
              </w:rPr>
              <w:t>Smart Health. Connected Care. For Kenya's Future.</w:t>
            </w:r>
          </w:p>
          <w:p>
            <w:r>
              <w:rPr>
                <w:color w:val="CCEEDD"/>
                <w:sz w:val="15"/>
              </w:rPr>
              <w:t>Tel: 0715 923 231  |  info@tfmc.co.ke  |  www.tfmc.co.ke  |  Nairobi, Kenya</w:t>
            </w:r>
          </w:p>
        </w:tc>
        <w:tc>
          <w:tcPr>
            <w:tcW w:type="dxa" w:w="2268"/>
            <w:shd w:val="clear" w:color="auto" w:fill="003366"/>
            <w:vAlign w:val="center"/>
          </w:tcPr>
          <w:p>
            <w:pPr>
              <w:jc w:val="center"/>
            </w:pPr>
            <w:r>
              <w:rPr>
                <w:b/>
                <w:color w:val="FFFFFF"/>
                <w:sz w:val="18"/>
              </w:rPr>
              <w:t>TFMC-POL-001</w:t>
            </w:r>
          </w:p>
          <w:p>
            <w:pPr>
              <w:jc w:val="center"/>
            </w:pPr>
            <w:r>
              <w:rPr>
                <w:color w:val="BBCCFF"/>
                <w:sz w:val="15"/>
              </w:rPr>
              <w:t>Date: 17 May 2026</w:t>
            </w:r>
          </w:p>
          <w:p>
            <w:pPr>
              <w:jc w:val="center"/>
            </w:pPr>
            <w:r>
              <w:rPr>
                <w:i/>
                <w:color w:val="88DDAA"/>
                <w:sz w:val="14"/>
              </w:rPr>
              <w:t>SHA &amp; SHIF Accredited</w:t>
            </w:r>
          </w:p>
        </w:tc>
      </w:tr>
    </w:tbl>
    <w:p/>
    <w:p>
      <w:pPr>
        <w:jc w:val="center"/>
        <w:pBdr>
          <w:bottom w:val="single" w:sz="10" w:space="1" w:color="005F60"/>
        </w:pBdr>
      </w:pPr>
      <w:r>
        <w:rPr>
          <w:b/>
          <w:color w:val="005F60"/>
          <w:sz w:val="30"/>
        </w:rPr>
        <w:t>PATIENT PRIVACY &amp; DATA PROTECTION POLICY</w:t>
      </w:r>
    </w:p>
    <w:p>
      <w:pPr>
        <w:jc w:val="center"/>
      </w:pPr>
      <w:r>
        <w:rPr>
          <w:i/>
          <w:color w:val="5A746F"/>
          <w:sz w:val="19"/>
        </w:rPr>
        <w:t>In Accordance with the Data Protection Act 2019 (Kenya) | Version 1.0</w:t>
      </w:r>
    </w:p>
    <w:p/>
    <w:p>
      <w:pPr>
        <w:spacing w:after="60"/>
      </w:pPr>
      <w:r>
        <w:rPr>
          <w:b w:val="0"/>
          <w:color w:val="5A746F"/>
          <w:sz w:val="21"/>
        </w:rPr>
        <w:t>Effective Date: 1 January 2026     |     Review Date: 1 January 2027     |     Approved by: Medical Director</w:t>
      </w:r>
    </w:p>
    <w:p>
      <w:pPr>
        <w:spacing w:before="160" w:after="40"/>
        <w:pBdr>
          <w:bottom w:val="single" w:sz="4" w:space="1" w:color="005F60"/>
        </w:pBdr>
      </w:pPr>
      <w:r>
        <w:rPr>
          <w:b/>
          <w:color w:val="005F60"/>
          <w:sz w:val="23"/>
        </w:rPr>
        <w:t>1. PURPOSE &amp; SCOPE</w:t>
      </w:r>
    </w:p>
    <w:p>
      <w:pPr>
        <w:spacing w:after="60"/>
      </w:pPr>
      <w:r>
        <w:rPr>
          <w:b w:val="0"/>
          <w:sz w:val="21"/>
        </w:rPr>
        <w:t>Tim's Family Medical Clinic Limited ('TFMC', 'we', 'us', 'our') is committed to protecting the privacy and confidentiality of all personal and health information entrusted to us by patients, staff, and visitors. This Policy applies to all TFMC staff, contractors, and third parties who process personal data on behalf of TFMC.</w:t>
      </w:r>
    </w:p>
    <w:p>
      <w:pPr>
        <w:spacing w:after="60"/>
      </w:pPr>
      <w:r>
        <w:rPr>
          <w:b w:val="0"/>
          <w:sz w:val="21"/>
        </w:rPr>
        <w:t>This Policy is issued in compliance with Kenya's Data Protection Act 2019 (DPA 2019) and any regulations made thereunder, and aligns with the principles of the General Data Protection Regulation (GDPR) where applicable.</w:t>
      </w:r>
    </w:p>
    <w:p>
      <w:pPr>
        <w:spacing w:before="160" w:after="40"/>
        <w:pBdr>
          <w:bottom w:val="single" w:sz="4" w:space="1" w:color="005F60"/>
        </w:pBdr>
      </w:pPr>
      <w:r>
        <w:rPr>
          <w:b/>
          <w:color w:val="005F60"/>
          <w:sz w:val="23"/>
        </w:rPr>
        <w:t>2. DEFINITIONS</w:t>
      </w:r>
    </w:p>
    <w:p>
      <w:pPr>
        <w:spacing w:after="60"/>
      </w:pPr>
      <w:r>
        <w:rPr>
          <w:b/>
          <w:color w:val="005F60"/>
          <w:sz w:val="21"/>
        </w:rPr>
        <w:t xml:space="preserve">Personal Data: </w:t>
      </w:r>
      <w:r>
        <w:rPr>
          <w:sz w:val="21"/>
        </w:rPr>
        <w:t>Any information relating to an identified or identifiable natural person (data subject), including name, identification number, health information, contact details.</w:t>
      </w:r>
    </w:p>
    <w:p>
      <w:pPr>
        <w:spacing w:after="60"/>
      </w:pPr>
      <w:r>
        <w:rPr>
          <w:b/>
          <w:color w:val="005F60"/>
          <w:sz w:val="21"/>
        </w:rPr>
        <w:t xml:space="preserve">Health Data: </w:t>
      </w:r>
      <w:r>
        <w:rPr>
          <w:sz w:val="21"/>
        </w:rPr>
        <w:t>A special category of personal data relating to the physical or mental health of a person, including medical history, diagnoses, treatments, and laboratory results. Treated with the highest level of protection.</w:t>
      </w:r>
    </w:p>
    <w:p>
      <w:pPr>
        <w:spacing w:after="60"/>
      </w:pPr>
      <w:r>
        <w:rPr>
          <w:b/>
          <w:color w:val="005F60"/>
          <w:sz w:val="21"/>
        </w:rPr>
        <w:t xml:space="preserve">Data Controller: </w:t>
      </w:r>
      <w:r>
        <w:rPr>
          <w:sz w:val="21"/>
        </w:rPr>
        <w:t>TFMC, which determines the purposes and means of processing personal data.</w:t>
      </w:r>
    </w:p>
    <w:p>
      <w:pPr>
        <w:spacing w:after="60"/>
      </w:pPr>
      <w:r>
        <w:rPr>
          <w:b/>
          <w:color w:val="005F60"/>
          <w:sz w:val="21"/>
        </w:rPr>
        <w:t xml:space="preserve">Data Processor: </w:t>
      </w:r>
      <w:r>
        <w:rPr>
          <w:sz w:val="21"/>
        </w:rPr>
        <w:t>Any person or organisation processing data on behalf of TFMC, including laboratory partners, IT providers, and insurance companies.</w:t>
      </w:r>
    </w:p>
    <w:p>
      <w:pPr>
        <w:spacing w:after="60"/>
      </w:pPr>
      <w:r>
        <w:rPr>
          <w:b/>
          <w:color w:val="005F60"/>
          <w:sz w:val="21"/>
        </w:rPr>
        <w:t xml:space="preserve">Processing: </w:t>
      </w:r>
      <w:r>
        <w:rPr>
          <w:sz w:val="21"/>
        </w:rPr>
        <w:t>Any operation performed on personal data — collection, storage, use, disclosure, or deletion.</w:t>
      </w:r>
    </w:p>
    <w:p>
      <w:pPr>
        <w:spacing w:before="160" w:after="40"/>
        <w:pBdr>
          <w:bottom w:val="single" w:sz="4" w:space="1" w:color="005F60"/>
        </w:pBdr>
      </w:pPr>
      <w:r>
        <w:rPr>
          <w:b/>
          <w:color w:val="005F60"/>
          <w:sz w:val="23"/>
        </w:rPr>
        <w:t>3. DATA WE COLLECT</w:t>
      </w:r>
    </w:p>
    <w:p>
      <w:pPr>
        <w:spacing w:after="60"/>
      </w:pPr>
      <w:r>
        <w:rPr>
          <w:b w:val="0"/>
          <w:sz w:val="21"/>
        </w:rPr>
        <w:t>We collect the following categories of personal data:</w:t>
      </w:r>
    </w:p>
    <w:p>
      <w:pPr>
        <w:pStyle w:val="ListBullet"/>
        <w:spacing w:after="40"/>
      </w:pPr>
      <w:r>
        <w:rPr>
          <w:b/>
          <w:color w:val="003366"/>
          <w:sz w:val="21"/>
        </w:rPr>
        <w:t xml:space="preserve">Identity data: </w:t>
      </w:r>
      <w:r>
        <w:rPr>
          <w:sz w:val="21"/>
        </w:rPr>
        <w:t>Full name, date of birth, gender, nationality</w:t>
      </w:r>
    </w:p>
    <w:p>
      <w:pPr>
        <w:pStyle w:val="ListBullet"/>
        <w:spacing w:after="40"/>
      </w:pPr>
      <w:r>
        <w:rPr>
          <w:b/>
          <w:color w:val="003366"/>
          <w:sz w:val="21"/>
        </w:rPr>
        <w:t xml:space="preserve">Contact data: </w:t>
      </w:r>
      <w:r>
        <w:rPr>
          <w:sz w:val="21"/>
        </w:rPr>
        <w:t>Address, phone, email, next of kin contact</w:t>
      </w:r>
    </w:p>
    <w:p>
      <w:pPr>
        <w:pStyle w:val="ListBullet"/>
        <w:spacing w:after="40"/>
      </w:pPr>
      <w:r>
        <w:rPr>
          <w:b/>
          <w:color w:val="003366"/>
          <w:sz w:val="21"/>
        </w:rPr>
        <w:t xml:space="preserve">Health &amp; medical data: </w:t>
      </w:r>
      <w:r>
        <w:rPr>
          <w:sz w:val="21"/>
        </w:rPr>
        <w:t>Medical history, diagnoses (ICD-10), medications, lab results, clinical notes, vitals, allergies, immunisation records</w:t>
      </w:r>
    </w:p>
    <w:p>
      <w:pPr>
        <w:pStyle w:val="ListBullet"/>
        <w:spacing w:after="40"/>
      </w:pPr>
      <w:r>
        <w:rPr>
          <w:b/>
          <w:color w:val="003366"/>
          <w:sz w:val="21"/>
        </w:rPr>
        <w:t xml:space="preserve">Financial data: </w:t>
      </w:r>
      <w:r>
        <w:rPr>
          <w:sz w:val="21"/>
        </w:rPr>
        <w:t>SHA/SHIF number, insurer details, payment records</w:t>
      </w:r>
    </w:p>
    <w:p>
      <w:pPr>
        <w:pStyle w:val="ListBullet"/>
        <w:spacing w:after="40"/>
      </w:pPr>
      <w:r>
        <w:rPr>
          <w:b/>
          <w:color w:val="003366"/>
          <w:sz w:val="21"/>
        </w:rPr>
        <w:t xml:space="preserve">Technical data: </w:t>
      </w:r>
      <w:r>
        <w:rPr>
          <w:sz w:val="21"/>
        </w:rPr>
        <w:t>IP addresses, website usage data via Google Analytics — anonymised</w:t>
      </w:r>
    </w:p>
    <w:p>
      <w:pPr>
        <w:pStyle w:val="ListBullet"/>
        <w:spacing w:after="40"/>
      </w:pPr>
      <w:r>
        <w:rPr>
          <w:b/>
          <w:color w:val="003366"/>
          <w:sz w:val="21"/>
        </w:rPr>
        <w:t xml:space="preserve">Employment data: </w:t>
      </w:r>
      <w:r>
        <w:rPr>
          <w:sz w:val="21"/>
        </w:rPr>
        <w:t>Staff records — governed by separate HR Privacy Notice</w:t>
      </w:r>
    </w:p>
    <w:p>
      <w:pPr>
        <w:spacing w:before="160" w:after="40"/>
        <w:pBdr>
          <w:bottom w:val="single" w:sz="4" w:space="1" w:color="005F60"/>
        </w:pBdr>
      </w:pPr>
      <w:r>
        <w:rPr>
          <w:b/>
          <w:color w:val="005F60"/>
          <w:sz w:val="23"/>
        </w:rPr>
        <w:t>4. HOW WE USE YOUR DATA</w:t>
      </w:r>
    </w:p>
    <w:p>
      <w:pPr>
        <w:spacing w:after="60"/>
      </w:pPr>
      <w:r>
        <w:rPr>
          <w:b w:val="0"/>
          <w:sz w:val="21"/>
        </w:rPr>
        <w:t>We use your personal and health data for the following lawful purposes:</w:t>
      </w:r>
    </w:p>
    <w:p>
      <w:pPr>
        <w:pStyle w:val="ListBullet"/>
        <w:spacing w:after="40"/>
      </w:pPr>
      <w:r>
        <w:rPr>
          <w:sz w:val="21"/>
        </w:rPr>
        <w:t>Providing clinical consultation, diagnosis, treatment, and follow-up care</w:t>
      </w:r>
    </w:p>
    <w:p>
      <w:pPr>
        <w:pStyle w:val="ListBullet"/>
        <w:spacing w:after="40"/>
      </w:pPr>
      <w:r>
        <w:rPr>
          <w:sz w:val="21"/>
        </w:rPr>
        <w:t>Maintaining accurate and complete medical records as required by law</w:t>
      </w:r>
    </w:p>
    <w:p>
      <w:pPr>
        <w:pStyle w:val="ListBullet"/>
        <w:spacing w:after="40"/>
      </w:pPr>
      <w:r>
        <w:rPr>
          <w:sz w:val="21"/>
        </w:rPr>
        <w:t>Processing SHA, SHIF, and insurance claims on your behalf</w:t>
      </w:r>
    </w:p>
    <w:p>
      <w:pPr>
        <w:pStyle w:val="ListBullet"/>
        <w:spacing w:after="40"/>
      </w:pPr>
      <w:r>
        <w:rPr>
          <w:sz w:val="21"/>
        </w:rPr>
        <w:t>Booking and managing your appointments</w:t>
      </w:r>
    </w:p>
    <w:p>
      <w:pPr>
        <w:pStyle w:val="ListBullet"/>
        <w:spacing w:after="40"/>
      </w:pPr>
      <w:r>
        <w:rPr>
          <w:sz w:val="21"/>
        </w:rPr>
        <w:t>Communicating with you regarding your care, test results, and follow-up</w:t>
      </w:r>
    </w:p>
    <w:p>
      <w:pPr>
        <w:pStyle w:val="ListBullet"/>
        <w:spacing w:after="40"/>
      </w:pPr>
      <w:r>
        <w:rPr>
          <w:sz w:val="21"/>
        </w:rPr>
        <w:t>Fulfilling our legal obligations under Kenyan health regulations</w:t>
      </w:r>
    </w:p>
    <w:p>
      <w:pPr>
        <w:pStyle w:val="ListBullet"/>
        <w:spacing w:after="40"/>
      </w:pPr>
      <w:r>
        <w:rPr>
          <w:sz w:val="21"/>
        </w:rPr>
        <w:t>Improving our clinical services through anonymised, aggregated data analysis</w:t>
      </w:r>
    </w:p>
    <w:p>
      <w:pPr>
        <w:pStyle w:val="ListBullet"/>
        <w:spacing w:after="40"/>
      </w:pPr>
      <w:r>
        <w:rPr>
          <w:sz w:val="21"/>
        </w:rPr>
        <w:t>Training and audit of clinical and administrative staff (anonymised)</w:t>
      </w:r>
    </w:p>
    <w:p>
      <w:pPr>
        <w:spacing w:before="160" w:after="40"/>
        <w:pBdr>
          <w:bottom w:val="single" w:sz="4" w:space="1" w:color="005F60"/>
        </w:pBdr>
      </w:pPr>
      <w:r>
        <w:rPr>
          <w:b/>
          <w:color w:val="005F60"/>
          <w:sz w:val="23"/>
        </w:rPr>
        <w:t>5. YOUR RIGHTS UNDER THE DPA 2019</w:t>
      </w:r>
    </w:p>
    <w:p>
      <w:pPr>
        <w:spacing w:after="60"/>
      </w:pPr>
      <w:r>
        <w:rPr>
          <w:b w:val="0"/>
          <w:sz w:val="21"/>
        </w:rPr>
        <w:t>As a data subject, you have the following rights:</w:t>
      </w:r>
    </w:p>
    <w:p>
      <w:pPr>
        <w:pStyle w:val="ListBullet"/>
        <w:spacing w:after="40"/>
      </w:pPr>
      <w:r>
        <w:rPr>
          <w:b/>
          <w:color w:val="005F60"/>
          <w:sz w:val="21"/>
        </w:rPr>
        <w:t xml:space="preserve">Right to Access: </w:t>
      </w:r>
      <w:r>
        <w:rPr>
          <w:sz w:val="21"/>
        </w:rPr>
        <w:t>Request a copy of your personal data held by TFMC</w:t>
      </w:r>
    </w:p>
    <w:p>
      <w:pPr>
        <w:pStyle w:val="ListBullet"/>
        <w:spacing w:after="40"/>
      </w:pPr>
      <w:r>
        <w:rPr>
          <w:b/>
          <w:color w:val="005F60"/>
          <w:sz w:val="21"/>
        </w:rPr>
        <w:t xml:space="preserve">Right to Rectification: </w:t>
      </w:r>
      <w:r>
        <w:rPr>
          <w:sz w:val="21"/>
        </w:rPr>
        <w:t>Request correction of inaccurate or incomplete data</w:t>
      </w:r>
    </w:p>
    <w:p>
      <w:pPr>
        <w:pStyle w:val="ListBullet"/>
        <w:spacing w:after="40"/>
      </w:pPr>
      <w:r>
        <w:rPr>
          <w:b/>
          <w:color w:val="005F60"/>
          <w:sz w:val="21"/>
        </w:rPr>
        <w:t xml:space="preserve">Right to Erasure: </w:t>
      </w:r>
      <w:r>
        <w:rPr>
          <w:sz w:val="21"/>
        </w:rPr>
        <w:t>Request deletion of your data subject to legal retention requirements</w:t>
      </w:r>
    </w:p>
    <w:p>
      <w:pPr>
        <w:pStyle w:val="ListBullet"/>
        <w:spacing w:after="40"/>
      </w:pPr>
      <w:r>
        <w:rPr>
          <w:b/>
          <w:color w:val="005F60"/>
          <w:sz w:val="21"/>
        </w:rPr>
        <w:t xml:space="preserve">Right to Restrict Processing: </w:t>
      </w:r>
      <w:r>
        <w:rPr>
          <w:sz w:val="21"/>
        </w:rPr>
        <w:t>Request limitation on how we use your data</w:t>
      </w:r>
    </w:p>
    <w:p>
      <w:pPr>
        <w:pStyle w:val="ListBullet"/>
        <w:spacing w:after="40"/>
      </w:pPr>
      <w:r>
        <w:rPr>
          <w:b/>
          <w:color w:val="005F60"/>
          <w:sz w:val="21"/>
        </w:rPr>
        <w:t xml:space="preserve">Right to Data Portability: </w:t>
      </w:r>
      <w:r>
        <w:rPr>
          <w:sz w:val="21"/>
        </w:rPr>
        <w:t>Receive your data in a structured, commonly-used format</w:t>
      </w:r>
    </w:p>
    <w:p>
      <w:pPr>
        <w:pStyle w:val="ListBullet"/>
        <w:spacing w:after="40"/>
      </w:pPr>
      <w:r>
        <w:rPr>
          <w:b/>
          <w:color w:val="005F60"/>
          <w:sz w:val="21"/>
        </w:rPr>
        <w:t xml:space="preserve">Right to Object: </w:t>
      </w:r>
      <w:r>
        <w:rPr>
          <w:sz w:val="21"/>
        </w:rPr>
        <w:t>Object to processing for specific purposes</w:t>
      </w:r>
    </w:p>
    <w:p>
      <w:pPr>
        <w:pStyle w:val="ListBullet"/>
        <w:spacing w:after="40"/>
      </w:pPr>
      <w:r>
        <w:rPr>
          <w:b/>
          <w:color w:val="005F60"/>
          <w:sz w:val="21"/>
        </w:rPr>
        <w:t xml:space="preserve">Right to Withdraw Consent: </w:t>
      </w:r>
      <w:r>
        <w:rPr>
          <w:sz w:val="21"/>
        </w:rPr>
        <w:t>Withdraw consent at any time where processing is based on consent</w:t>
      </w:r>
    </w:p>
    <w:p>
      <w:pPr>
        <w:spacing w:after="60"/>
      </w:pPr>
      <w:r>
        <w:rPr>
          <w:b w:val="0"/>
          <w:sz w:val="21"/>
        </w:rPr>
        <w:t>To exercise any right, submit a written request to: privacy@tfmc.co.ke | 0715 923 231. We will respond within 30 days.</w:t>
      </w:r>
    </w:p>
    <w:p>
      <w:pPr>
        <w:spacing w:before="160" w:after="40"/>
        <w:pBdr>
          <w:bottom w:val="single" w:sz="4" w:space="1" w:color="005F60"/>
        </w:pBdr>
      </w:pPr>
      <w:r>
        <w:rPr>
          <w:b/>
          <w:color w:val="005F60"/>
          <w:sz w:val="23"/>
        </w:rPr>
        <w:t>6. DATA SHARING</w:t>
      </w:r>
    </w:p>
    <w:p>
      <w:pPr>
        <w:spacing w:after="60"/>
      </w:pPr>
      <w:r>
        <w:rPr>
          <w:b w:val="0"/>
          <w:sz w:val="21"/>
        </w:rPr>
        <w:t>We share your data only when necessary and lawful:</w:t>
      </w:r>
    </w:p>
    <w:p>
      <w:pPr>
        <w:pStyle w:val="ListBullet"/>
        <w:spacing w:after="40"/>
      </w:pPr>
      <w:r>
        <w:rPr>
          <w:sz w:val="21"/>
        </w:rPr>
        <w:t>SHA/SHIF and insurance providers: for claims processing and benefit verification</w:t>
      </w:r>
    </w:p>
    <w:p>
      <w:pPr>
        <w:pStyle w:val="ListBullet"/>
        <w:spacing w:after="40"/>
      </w:pPr>
      <w:r>
        <w:rPr>
          <w:sz w:val="21"/>
        </w:rPr>
        <w:t>Referral hospitals and specialists: for continuity of care</w:t>
      </w:r>
    </w:p>
    <w:p>
      <w:pPr>
        <w:pStyle w:val="ListBullet"/>
        <w:spacing w:after="40"/>
      </w:pPr>
      <w:r>
        <w:rPr>
          <w:sz w:val="21"/>
        </w:rPr>
        <w:t>Laboratory partners: for tests not available on-site</w:t>
      </w:r>
    </w:p>
    <w:p>
      <w:pPr>
        <w:pStyle w:val="ListBullet"/>
        <w:spacing w:after="40"/>
      </w:pPr>
      <w:r>
        <w:rPr>
          <w:sz w:val="21"/>
        </w:rPr>
        <w:t>Public health authorities: as required by Kenya's Public Health Act (e.g. notifiable diseases: cholera, TB, COVID-19)</w:t>
      </w:r>
    </w:p>
    <w:p>
      <w:pPr>
        <w:pStyle w:val="ListBullet"/>
        <w:spacing w:after="40"/>
      </w:pPr>
      <w:r>
        <w:rPr>
          <w:sz w:val="21"/>
        </w:rPr>
        <w:t>Legal and regulatory bodies: where required by law or court order</w:t>
      </w:r>
    </w:p>
    <w:p>
      <w:pPr>
        <w:pStyle w:val="ListBullet"/>
        <w:spacing w:after="40"/>
      </w:pPr>
      <w:r>
        <w:rPr>
          <w:sz w:val="21"/>
        </w:rPr>
        <w:t>We do NOT sell your personal data to any third party under any circumstances.</w:t>
      </w:r>
    </w:p>
    <w:p>
      <w:pPr>
        <w:spacing w:before="160" w:after="40"/>
        <w:pBdr>
          <w:bottom w:val="single" w:sz="4" w:space="1" w:color="005F60"/>
        </w:pBdr>
      </w:pPr>
      <w:r>
        <w:rPr>
          <w:b/>
          <w:color w:val="005F60"/>
          <w:sz w:val="23"/>
        </w:rPr>
        <w:t>7. DATA SECURITY</w:t>
      </w:r>
    </w:p>
    <w:p>
      <w:pPr>
        <w:spacing w:after="60"/>
      </w:pPr>
      <w:r>
        <w:rPr>
          <w:b w:val="0"/>
          <w:sz w:val="21"/>
        </w:rPr>
        <w:t>TFMC implements appropriate technical and organisational measures to protect personal data:</w:t>
      </w:r>
    </w:p>
    <w:p>
      <w:pPr>
        <w:pStyle w:val="ListBullet"/>
        <w:spacing w:after="40"/>
      </w:pPr>
      <w:r>
        <w:rPr>
          <w:sz w:val="21"/>
        </w:rPr>
        <w:t>Electronic records: password-protected systems with role-based access controls</w:t>
      </w:r>
    </w:p>
    <w:p>
      <w:pPr>
        <w:pStyle w:val="ListBullet"/>
        <w:spacing w:after="40"/>
      </w:pPr>
      <w:r>
        <w:rPr>
          <w:sz w:val="21"/>
        </w:rPr>
        <w:t>Physical records: locked filing cabinets with restricted access</w:t>
      </w:r>
    </w:p>
    <w:p>
      <w:pPr>
        <w:pStyle w:val="ListBullet"/>
        <w:spacing w:after="40"/>
      </w:pPr>
      <w:r>
        <w:rPr>
          <w:sz w:val="21"/>
        </w:rPr>
        <w:t>Staff training: all staff receive data protection training on joining and annually</w:t>
      </w:r>
    </w:p>
    <w:p>
      <w:pPr>
        <w:pStyle w:val="ListBullet"/>
        <w:spacing w:after="40"/>
      </w:pPr>
      <w:r>
        <w:rPr>
          <w:sz w:val="21"/>
        </w:rPr>
        <w:t>Data breach protocol: breaches are contained, reported to the Office of the Data Protection Commissioner (ODPC) within 72 hours if required, and affected patients notified</w:t>
      </w:r>
    </w:p>
    <w:p>
      <w:pPr>
        <w:spacing w:before="160" w:after="40"/>
        <w:pBdr>
          <w:bottom w:val="single" w:sz="4" w:space="1" w:color="005F60"/>
        </w:pBdr>
      </w:pPr>
      <w:r>
        <w:rPr>
          <w:b/>
          <w:color w:val="005F60"/>
          <w:sz w:val="23"/>
        </w:rPr>
        <w:t>8. RETENTION PERIODS</w:t>
      </w:r>
    </w:p>
    <w:tbl>
      <w:tblPr>
        <w:tblStyle w:val="TableGrid"/>
        <w:tblW w:type="auto" w:w="0"/>
        <w:tblLook w:firstColumn="1" w:firstRow="1" w:lastColumn="0" w:lastRow="0" w:noHBand="0" w:noVBand="1" w:val="04A0"/>
      </w:tblPr>
      <w:tblGrid>
        <w:gridCol w:w="4536"/>
        <w:gridCol w:w="4536"/>
      </w:tblGrid>
      <w:tr>
        <w:tc>
          <w:tcPr>
            <w:tcW w:type="dxa" w:w="4536"/>
            <w:shd w:val="clear" w:color="auto" w:fill="005F60"/>
          </w:tcPr>
          <w:p>
            <w:r>
              <w:rPr>
                <w:b/>
                <w:color w:val="FFFFFF"/>
                <w:sz w:val="19"/>
              </w:rPr>
              <w:t>Data Type</w:t>
            </w:r>
          </w:p>
        </w:tc>
        <w:tc>
          <w:tcPr>
            <w:tcW w:type="dxa" w:w="4536"/>
            <w:shd w:val="clear" w:color="auto" w:fill="005F60"/>
          </w:tcPr>
          <w:p>
            <w:r>
              <w:rPr>
                <w:b/>
                <w:color w:val="FFFFFF"/>
                <w:sz w:val="19"/>
              </w:rPr>
              <w:t>Retention Period</w:t>
            </w:r>
          </w:p>
        </w:tc>
      </w:tr>
      <w:tr>
        <w:tc>
          <w:tcPr>
            <w:tcW w:type="dxa" w:w="4536"/>
            <w:shd w:val="clear" w:color="auto" w:fill="F4FAF7"/>
          </w:tcPr>
          <w:p>
            <w:r>
              <w:rPr>
                <w:sz w:val="19"/>
              </w:rPr>
              <w:t>Adult patient medical records</w:t>
            </w:r>
          </w:p>
        </w:tc>
        <w:tc>
          <w:tcPr>
            <w:tcW w:type="dxa" w:w="4536"/>
            <w:shd w:val="clear" w:color="auto" w:fill="F4FAF7"/>
          </w:tcPr>
          <w:p>
            <w:r>
              <w:rPr>
                <w:sz w:val="19"/>
              </w:rPr>
              <w:t>Minimum 7 years from last visit</w:t>
            </w:r>
          </w:p>
        </w:tc>
      </w:tr>
      <w:tr>
        <w:tc>
          <w:tcPr>
            <w:tcW w:type="dxa" w:w="4536"/>
            <w:shd w:val="clear" w:color="auto" w:fill="FFFFFF"/>
          </w:tcPr>
          <w:p>
            <w:r>
              <w:rPr>
                <w:sz w:val="19"/>
              </w:rPr>
              <w:t>Minor patient records</w:t>
            </w:r>
          </w:p>
        </w:tc>
        <w:tc>
          <w:tcPr>
            <w:tcW w:type="dxa" w:w="4536"/>
            <w:shd w:val="clear" w:color="auto" w:fill="FFFFFF"/>
          </w:tcPr>
          <w:p>
            <w:r>
              <w:rPr>
                <w:sz w:val="19"/>
              </w:rPr>
              <w:t>Until age 25 or 7 years after last visit (whichever is later)</w:t>
            </w:r>
          </w:p>
        </w:tc>
      </w:tr>
      <w:tr>
        <w:tc>
          <w:tcPr>
            <w:tcW w:type="dxa" w:w="4536"/>
            <w:shd w:val="clear" w:color="auto" w:fill="F4FAF7"/>
          </w:tcPr>
          <w:p>
            <w:r>
              <w:rPr>
                <w:sz w:val="19"/>
              </w:rPr>
              <w:t>Financial / billing records</w:t>
            </w:r>
          </w:p>
        </w:tc>
        <w:tc>
          <w:tcPr>
            <w:tcW w:type="dxa" w:w="4536"/>
            <w:shd w:val="clear" w:color="auto" w:fill="F4FAF7"/>
          </w:tcPr>
          <w:p>
            <w:r>
              <w:rPr>
                <w:sz w:val="19"/>
              </w:rPr>
              <w:t>7 years (Kenya Companies Act requirement)</w:t>
            </w:r>
          </w:p>
        </w:tc>
      </w:tr>
      <w:tr>
        <w:tc>
          <w:tcPr>
            <w:tcW w:type="dxa" w:w="4536"/>
            <w:shd w:val="clear" w:color="auto" w:fill="FFFFFF"/>
          </w:tcPr>
          <w:p>
            <w:r>
              <w:rPr>
                <w:sz w:val="19"/>
              </w:rPr>
              <w:t>Staff records</w:t>
            </w:r>
          </w:p>
        </w:tc>
        <w:tc>
          <w:tcPr>
            <w:tcW w:type="dxa" w:w="4536"/>
            <w:shd w:val="clear" w:color="auto" w:fill="FFFFFF"/>
          </w:tcPr>
          <w:p>
            <w:r>
              <w:rPr>
                <w:sz w:val="19"/>
              </w:rPr>
              <w:t>7 years after employment ends</w:t>
            </w:r>
          </w:p>
        </w:tc>
      </w:tr>
      <w:tr>
        <w:tc>
          <w:tcPr>
            <w:tcW w:type="dxa" w:w="4536"/>
            <w:shd w:val="clear" w:color="auto" w:fill="F4FAF7"/>
          </w:tcPr>
          <w:p>
            <w:r>
              <w:rPr>
                <w:sz w:val="19"/>
              </w:rPr>
              <w:t>CCTV footage</w:t>
            </w:r>
          </w:p>
        </w:tc>
        <w:tc>
          <w:tcPr>
            <w:tcW w:type="dxa" w:w="4536"/>
            <w:shd w:val="clear" w:color="auto" w:fill="F4FAF7"/>
          </w:tcPr>
          <w:p>
            <w:r>
              <w:rPr>
                <w:sz w:val="19"/>
              </w:rPr>
              <w:t>30 days</w:t>
            </w:r>
          </w:p>
        </w:tc>
      </w:tr>
    </w:tbl>
    <w:p/>
    <w:p>
      <w:pPr>
        <w:spacing w:before="160" w:after="40"/>
        <w:pBdr>
          <w:bottom w:val="single" w:sz="4" w:space="1" w:color="005F60"/>
        </w:pBdr>
      </w:pPr>
      <w:r>
        <w:rPr>
          <w:b/>
          <w:color w:val="005F60"/>
          <w:sz w:val="23"/>
        </w:rPr>
        <w:t>9. COMPLAINTS</w:t>
      </w:r>
    </w:p>
    <w:p>
      <w:pPr>
        <w:spacing w:after="60"/>
      </w:pPr>
      <w:r>
        <w:rPr>
          <w:b w:val="0"/>
          <w:sz w:val="21"/>
        </w:rPr>
        <w:t>If you are unsatisfied with how TFMC handles your personal data, you may: (1) Contact our Data Protection Officer at privacy@tfmc.co.ke; or (2) Lodge a complaint with Kenya's Office of the Data Protection Commissioner (ODPC) at www.odpc.go.ke.</w:t>
      </w:r>
    </w:p>
    <w:p>
      <w:pPr>
        <w:spacing w:before="160" w:after="40"/>
        <w:pBdr>
          <w:bottom w:val="single" w:sz="4" w:space="1" w:color="005F60"/>
        </w:pBdr>
      </w:pPr>
      <w:r>
        <w:rPr>
          <w:b/>
          <w:color w:val="005F60"/>
          <w:sz w:val="23"/>
        </w:rPr>
        <w:t>10. POLICY REVIEW</w:t>
      </w:r>
    </w:p>
    <w:p>
      <w:pPr>
        <w:spacing w:after="60"/>
      </w:pPr>
      <w:r>
        <w:rPr>
          <w:b w:val="0"/>
          <w:sz w:val="21"/>
        </w:rPr>
        <w:t>This policy is reviewed annually or whenever there are significant changes in law or TFMC operations. The current version is always available at www.tfmc.co.ke/downloads.</w:t>
      </w:r>
    </w:p>
    <w:p/>
    <w:p>
      <w:pPr>
        <w:pBdr>
          <w:bottom w:val="single" w:sz="4" w:space="1" w:color="D9EBE5"/>
        </w:pBdr>
      </w:pPr>
    </w:p>
    <w:p>
      <w:pPr>
        <w:jc w:val="center"/>
      </w:pPr>
      <w:r>
        <w:rPr>
          <w:i/>
          <w:color w:val="5A746F"/>
          <w:sz w:val="15"/>
        </w:rPr>
        <w:t>TFMC-POL-001 | Version 1.0 | Effective 1 January 2026 | Questions: privacy@tfmc.co.ke | 0715 923 231</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