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3024"/>
        <w:gridCol w:w="3024"/>
        <w:gridCol w:w="3024"/>
      </w:tblGrid>
      <w:tr>
        <w:tc>
          <w:tcPr>
            <w:tcW w:type="dxa" w:w="1417"/>
            <w:shd w:val="clear" w:color="auto" w:fill="FFFFFF"/>
            <w:vAlign w:val="center"/>
          </w:tcPr>
          <w:p>
            <w:pPr>
              <w:jc w:val="center"/>
            </w:pPr>
            <w:r>
              <w:drawing>
                <wp:inline xmlns:a="http://schemas.openxmlformats.org/drawingml/2006/main" xmlns:pic="http://schemas.openxmlformats.org/drawingml/2006/picture">
                  <wp:extent cx="792000" cy="527472"/>
                  <wp:docPr id="1" name="Picture 1"/>
                  <wp:cNvGraphicFramePr>
                    <a:graphicFrameLocks noChangeAspect="1"/>
                  </wp:cNvGraphicFramePr>
                  <a:graphic>
                    <a:graphicData uri="http://schemas.openxmlformats.org/drawingml/2006/picture">
                      <pic:pic>
                        <pic:nvPicPr>
                          <pic:cNvPr id="0" name="logo_white_bg_sm.png"/>
                          <pic:cNvPicPr/>
                        </pic:nvPicPr>
                        <pic:blipFill>
                          <a:blip r:embed="rId9"/>
                          <a:stretch>
                            <a:fillRect/>
                          </a:stretch>
                        </pic:blipFill>
                        <pic:spPr>
                          <a:xfrm>
                            <a:off x="0" y="0"/>
                            <a:ext cx="792000" cy="527472"/>
                          </a:xfrm>
                          <a:prstGeom prst="rect"/>
                        </pic:spPr>
                      </pic:pic>
                    </a:graphicData>
                  </a:graphic>
                </wp:inline>
              </w:drawing>
            </w:r>
          </w:p>
        </w:tc>
        <w:tc>
          <w:tcPr>
            <w:tcW w:type="dxa" w:w="5953"/>
            <w:shd w:val="clear" w:color="auto" w:fill="005F60"/>
            <w:vAlign w:val="center"/>
          </w:tcPr>
          <w:p>
            <w:r>
              <w:rPr>
                <w:b/>
                <w:color w:val="FFFFFF"/>
                <w:sz w:val="24"/>
              </w:rPr>
              <w:t>TIM'S FAMILY MEDICAL CLINIC</w:t>
            </w:r>
          </w:p>
          <w:p>
            <w:r>
              <w:rPr>
                <w:i/>
                <w:color w:val="AADDCC"/>
                <w:sz w:val="16"/>
              </w:rPr>
              <w:t>Smart Health. Connected Care. For Kenya's Future.</w:t>
            </w:r>
          </w:p>
          <w:p>
            <w:r>
              <w:rPr>
                <w:color w:val="CCEEDD"/>
                <w:sz w:val="15"/>
              </w:rPr>
              <w:t>Tel: 0715 923 231  |  info@tfmc.co.ke  |  www.tfmc.co.ke  |  Nairobi, Kenya</w:t>
            </w:r>
          </w:p>
        </w:tc>
        <w:tc>
          <w:tcPr>
            <w:tcW w:type="dxa" w:w="2268"/>
            <w:shd w:val="clear" w:color="auto" w:fill="003366"/>
            <w:vAlign w:val="center"/>
          </w:tcPr>
          <w:p>
            <w:pPr>
              <w:jc w:val="center"/>
            </w:pPr>
            <w:r>
              <w:rPr>
                <w:b/>
                <w:color w:val="FFFFFF"/>
                <w:sz w:val="18"/>
              </w:rPr>
              <w:t>TFMC-GUIDE-006</w:t>
            </w:r>
          </w:p>
          <w:p>
            <w:pPr>
              <w:jc w:val="center"/>
            </w:pPr>
            <w:r>
              <w:rPr>
                <w:color w:val="BBCCFF"/>
                <w:sz w:val="15"/>
              </w:rPr>
              <w:t>Date: 17 May 2026</w:t>
            </w:r>
          </w:p>
          <w:p>
            <w:pPr>
              <w:jc w:val="center"/>
            </w:pPr>
            <w:r>
              <w:rPr>
                <w:i/>
                <w:color w:val="88DDAA"/>
                <w:sz w:val="14"/>
              </w:rPr>
              <w:t>SHA &amp; SHIF Accredited</w:t>
            </w:r>
          </w:p>
        </w:tc>
      </w:tr>
    </w:tbl>
    <w:p/>
    <w:p>
      <w:pPr>
        <w:jc w:val="center"/>
        <w:pBdr>
          <w:bottom w:val="single" w:sz="10" w:space="1" w:color="005F60"/>
        </w:pBdr>
      </w:pPr>
      <w:r>
        <w:rPr>
          <w:b/>
          <w:color w:val="005F60"/>
          <w:sz w:val="30"/>
        </w:rPr>
        <w:t>KENYA CHILDHOOD IMMUNISATION SCHEDULE</w:t>
      </w:r>
    </w:p>
    <w:p>
      <w:pPr>
        <w:jc w:val="center"/>
      </w:pPr>
      <w:r>
        <w:rPr>
          <w:i/>
          <w:color w:val="5A746F"/>
          <w:sz w:val="19"/>
        </w:rPr>
        <w:t>Ministry of Health Kenya | All vaccines FREE at TFMC and Government Facilities</w:t>
      </w:r>
    </w:p>
    <w:p/>
    <w:p>
      <w:pPr>
        <w:spacing w:after="60"/>
      </w:pPr>
      <w:r>
        <w:rPr>
          <w:b/>
          <w:color w:val="005F60"/>
          <w:sz w:val="21"/>
        </w:rPr>
        <w:t>Immunisation is one of the most effective ways to protect your child from serious and potentially fatal diseases. Kenya's routine immunisation schedule protects against 13 diseases. All vaccines on this schedule are FREE at TFMC and government health facilities.</w:t>
      </w:r>
    </w:p>
    <w:p>
      <w:pPr>
        <w:spacing w:before="160" w:after="40"/>
        <w:pBdr>
          <w:bottom w:val="single" w:sz="4" w:space="1" w:color="005F60"/>
        </w:pBdr>
      </w:pPr>
      <w:r>
        <w:rPr>
          <w:b/>
          <w:color w:val="005F60"/>
          <w:sz w:val="23"/>
        </w:rPr>
        <w:t>ROUTINE IMMUNISATION SCHEDULE (MOH Kenya)</w:t>
      </w:r>
    </w:p>
    <w:tbl>
      <w:tblPr>
        <w:tblStyle w:val="TableGrid"/>
        <w:tblW w:type="auto" w:w="0"/>
        <w:tblLook w:firstColumn="1" w:firstRow="1" w:lastColumn="0" w:lastRow="0" w:noHBand="0" w:noVBand="1" w:val="04A0"/>
      </w:tblPr>
      <w:tblGrid>
        <w:gridCol w:w="1701"/>
        <w:gridCol w:w="2551"/>
        <w:gridCol w:w="5386"/>
      </w:tblGrid>
      <w:tr>
        <w:tc>
          <w:tcPr>
            <w:tcW w:type="dxa" w:w="3024"/>
            <w:shd w:val="clear" w:color="auto" w:fill="005F60"/>
          </w:tcPr>
          <w:p>
            <w:r>
              <w:rPr>
                <w:b/>
                <w:color w:val="FFFFFF"/>
                <w:sz w:val="19"/>
              </w:rPr>
              <w:t>Age</w:t>
            </w:r>
          </w:p>
        </w:tc>
        <w:tc>
          <w:tcPr>
            <w:tcW w:type="dxa" w:w="3024"/>
            <w:shd w:val="clear" w:color="auto" w:fill="005F60"/>
          </w:tcPr>
          <w:p>
            <w:r>
              <w:rPr>
                <w:b/>
                <w:color w:val="FFFFFF"/>
                <w:sz w:val="19"/>
              </w:rPr>
              <w:t>Vaccine</w:t>
            </w:r>
          </w:p>
        </w:tc>
        <w:tc>
          <w:tcPr>
            <w:tcW w:type="dxa" w:w="3024"/>
            <w:shd w:val="clear" w:color="auto" w:fill="005F60"/>
          </w:tcPr>
          <w:p>
            <w:r>
              <w:rPr>
                <w:b/>
                <w:color w:val="FFFFFF"/>
                <w:sz w:val="19"/>
              </w:rPr>
              <w:t>Diseases Protected Against</w:t>
            </w:r>
          </w:p>
        </w:tc>
      </w:tr>
      <w:tr>
        <w:tc>
          <w:tcPr>
            <w:tcW w:type="dxa" w:w="3024"/>
            <w:shd w:val="clear" w:color="auto" w:fill="F4FAF7"/>
          </w:tcPr>
          <w:p>
            <w:r>
              <w:rPr>
                <w:b/>
                <w:color w:val="005F60"/>
                <w:sz w:val="18"/>
              </w:rPr>
              <w:t>Birth</w:t>
            </w:r>
          </w:p>
        </w:tc>
        <w:tc>
          <w:tcPr>
            <w:tcW w:type="dxa" w:w="3024"/>
            <w:shd w:val="clear" w:color="auto" w:fill="F4FAF7"/>
          </w:tcPr>
          <w:p>
            <w:r>
              <w:rPr>
                <w:sz w:val="18"/>
              </w:rPr>
              <w:t>BCG</w:t>
            </w:r>
          </w:p>
        </w:tc>
        <w:tc>
          <w:tcPr>
            <w:tcW w:type="dxa" w:w="3024"/>
            <w:shd w:val="clear" w:color="auto" w:fill="F4FAF7"/>
          </w:tcPr>
          <w:p>
            <w:r>
              <w:rPr>
                <w:sz w:val="18"/>
              </w:rPr>
              <w:t>Tuberculosis (TB) — scar appears on upper left arm</w:t>
            </w:r>
          </w:p>
        </w:tc>
      </w:tr>
      <w:tr>
        <w:tc>
          <w:tcPr>
            <w:tcW w:type="dxa" w:w="3024"/>
            <w:shd w:val="clear" w:color="auto" w:fill="FFFFFF"/>
          </w:tcPr>
          <w:p>
            <w:r>
              <w:rPr>
                <w:b/>
                <w:color w:val="005F60"/>
                <w:sz w:val="18"/>
              </w:rPr>
              <w:t>Birth</w:t>
            </w:r>
          </w:p>
        </w:tc>
        <w:tc>
          <w:tcPr>
            <w:tcW w:type="dxa" w:w="3024"/>
            <w:shd w:val="clear" w:color="auto" w:fill="FFFFFF"/>
          </w:tcPr>
          <w:p>
            <w:r>
              <w:rPr>
                <w:sz w:val="18"/>
              </w:rPr>
              <w:t>OPV 0 (Oral Polio Vaccine)</w:t>
            </w:r>
          </w:p>
        </w:tc>
        <w:tc>
          <w:tcPr>
            <w:tcW w:type="dxa" w:w="3024"/>
            <w:shd w:val="clear" w:color="auto" w:fill="FFFFFF"/>
          </w:tcPr>
          <w:p>
            <w:r>
              <w:rPr>
                <w:sz w:val="18"/>
              </w:rPr>
              <w:t>Poliomyelitis</w:t>
            </w:r>
          </w:p>
        </w:tc>
      </w:tr>
      <w:tr>
        <w:tc>
          <w:tcPr>
            <w:tcW w:type="dxa" w:w="3024"/>
            <w:shd w:val="clear" w:color="auto" w:fill="F4FAF7"/>
          </w:tcPr>
          <w:p>
            <w:r>
              <w:rPr>
                <w:b/>
                <w:color w:val="005F60"/>
                <w:sz w:val="18"/>
              </w:rPr>
              <w:t>6 weeks</w:t>
            </w:r>
          </w:p>
        </w:tc>
        <w:tc>
          <w:tcPr>
            <w:tcW w:type="dxa" w:w="3024"/>
            <w:shd w:val="clear" w:color="auto" w:fill="F4FAF7"/>
          </w:tcPr>
          <w:p>
            <w:r>
              <w:rPr>
                <w:sz w:val="18"/>
              </w:rPr>
              <w:t>OPV 1</w:t>
            </w:r>
          </w:p>
        </w:tc>
        <w:tc>
          <w:tcPr>
            <w:tcW w:type="dxa" w:w="3024"/>
            <w:shd w:val="clear" w:color="auto" w:fill="F4FAF7"/>
          </w:tcPr>
          <w:p>
            <w:r>
              <w:rPr>
                <w:sz w:val="18"/>
              </w:rPr>
              <w:t>Poliomyelitis</w:t>
            </w:r>
          </w:p>
        </w:tc>
      </w:tr>
      <w:tr>
        <w:tc>
          <w:tcPr>
            <w:tcW w:type="dxa" w:w="3024"/>
            <w:shd w:val="clear" w:color="auto" w:fill="FFFFFF"/>
          </w:tcPr>
          <w:p>
            <w:r>
              <w:rPr>
                <w:b/>
                <w:color w:val="005F60"/>
                <w:sz w:val="18"/>
              </w:rPr>
              <w:t>6 weeks</w:t>
            </w:r>
          </w:p>
        </w:tc>
        <w:tc>
          <w:tcPr>
            <w:tcW w:type="dxa" w:w="3024"/>
            <w:shd w:val="clear" w:color="auto" w:fill="FFFFFF"/>
          </w:tcPr>
          <w:p>
            <w:r>
              <w:rPr>
                <w:sz w:val="18"/>
              </w:rPr>
              <w:t>DPT-HepB-Hib 1</w:t>
            </w:r>
          </w:p>
        </w:tc>
        <w:tc>
          <w:tcPr>
            <w:tcW w:type="dxa" w:w="3024"/>
            <w:shd w:val="clear" w:color="auto" w:fill="FFFFFF"/>
          </w:tcPr>
          <w:p>
            <w:r>
              <w:rPr>
                <w:sz w:val="18"/>
              </w:rPr>
              <w:t>Diphtheria, Pertussis, Tetanus, Hepatitis B, Hib meningitis</w:t>
            </w:r>
          </w:p>
        </w:tc>
      </w:tr>
      <w:tr>
        <w:tc>
          <w:tcPr>
            <w:tcW w:type="dxa" w:w="3024"/>
            <w:shd w:val="clear" w:color="auto" w:fill="F4FAF7"/>
          </w:tcPr>
          <w:p>
            <w:r>
              <w:rPr>
                <w:b/>
                <w:color w:val="005F60"/>
                <w:sz w:val="18"/>
              </w:rPr>
              <w:t>6 weeks</w:t>
            </w:r>
          </w:p>
        </w:tc>
        <w:tc>
          <w:tcPr>
            <w:tcW w:type="dxa" w:w="3024"/>
            <w:shd w:val="clear" w:color="auto" w:fill="F4FAF7"/>
          </w:tcPr>
          <w:p>
            <w:r>
              <w:rPr>
                <w:sz w:val="18"/>
              </w:rPr>
              <w:t>PCV 1 (Pneumococcal)</w:t>
            </w:r>
          </w:p>
        </w:tc>
        <w:tc>
          <w:tcPr>
            <w:tcW w:type="dxa" w:w="3024"/>
            <w:shd w:val="clear" w:color="auto" w:fill="F4FAF7"/>
          </w:tcPr>
          <w:p>
            <w:r>
              <w:rPr>
                <w:sz w:val="18"/>
              </w:rPr>
              <w:t>Pneumonia, meningitis</w:t>
            </w:r>
          </w:p>
        </w:tc>
      </w:tr>
      <w:tr>
        <w:tc>
          <w:tcPr>
            <w:tcW w:type="dxa" w:w="3024"/>
            <w:shd w:val="clear" w:color="auto" w:fill="FFFFFF"/>
          </w:tcPr>
          <w:p>
            <w:r>
              <w:rPr>
                <w:b/>
                <w:color w:val="005F60"/>
                <w:sz w:val="18"/>
              </w:rPr>
              <w:t>6 weeks</w:t>
            </w:r>
          </w:p>
        </w:tc>
        <w:tc>
          <w:tcPr>
            <w:tcW w:type="dxa" w:w="3024"/>
            <w:shd w:val="clear" w:color="auto" w:fill="FFFFFF"/>
          </w:tcPr>
          <w:p>
            <w:r>
              <w:rPr>
                <w:sz w:val="18"/>
              </w:rPr>
              <w:t>Rotavirus 1</w:t>
            </w:r>
          </w:p>
        </w:tc>
        <w:tc>
          <w:tcPr>
            <w:tcW w:type="dxa" w:w="3024"/>
            <w:shd w:val="clear" w:color="auto" w:fill="FFFFFF"/>
          </w:tcPr>
          <w:p>
            <w:r>
              <w:rPr>
                <w:sz w:val="18"/>
              </w:rPr>
              <w:t>Rotavirus diarrhoea (leading cause of diarrhoea death in children)</w:t>
            </w:r>
          </w:p>
        </w:tc>
      </w:tr>
      <w:tr>
        <w:tc>
          <w:tcPr>
            <w:tcW w:type="dxa" w:w="3024"/>
            <w:shd w:val="clear" w:color="auto" w:fill="F4FAF7"/>
          </w:tcPr>
          <w:p>
            <w:r>
              <w:rPr>
                <w:b/>
                <w:color w:val="005F60"/>
                <w:sz w:val="18"/>
              </w:rPr>
              <w:t>10 weeks</w:t>
            </w:r>
          </w:p>
        </w:tc>
        <w:tc>
          <w:tcPr>
            <w:tcW w:type="dxa" w:w="3024"/>
            <w:shd w:val="clear" w:color="auto" w:fill="F4FAF7"/>
          </w:tcPr>
          <w:p>
            <w:r>
              <w:rPr>
                <w:sz w:val="18"/>
              </w:rPr>
              <w:t>OPV 2</w:t>
            </w:r>
          </w:p>
        </w:tc>
        <w:tc>
          <w:tcPr>
            <w:tcW w:type="dxa" w:w="3024"/>
            <w:shd w:val="clear" w:color="auto" w:fill="F4FAF7"/>
          </w:tcPr>
          <w:p>
            <w:r>
              <w:rPr>
                <w:sz w:val="18"/>
              </w:rPr>
              <w:t>Poliomyelitis</w:t>
            </w:r>
          </w:p>
        </w:tc>
      </w:tr>
      <w:tr>
        <w:tc>
          <w:tcPr>
            <w:tcW w:type="dxa" w:w="3024"/>
            <w:shd w:val="clear" w:color="auto" w:fill="FFFFFF"/>
          </w:tcPr>
          <w:p>
            <w:r>
              <w:rPr>
                <w:b/>
                <w:color w:val="005F60"/>
                <w:sz w:val="18"/>
              </w:rPr>
              <w:t>10 weeks</w:t>
            </w:r>
          </w:p>
        </w:tc>
        <w:tc>
          <w:tcPr>
            <w:tcW w:type="dxa" w:w="3024"/>
            <w:shd w:val="clear" w:color="auto" w:fill="FFFFFF"/>
          </w:tcPr>
          <w:p>
            <w:r>
              <w:rPr>
                <w:sz w:val="18"/>
              </w:rPr>
              <w:t>DPT-HepB-Hib 2</w:t>
            </w:r>
          </w:p>
        </w:tc>
        <w:tc>
          <w:tcPr>
            <w:tcW w:type="dxa" w:w="3024"/>
            <w:shd w:val="clear" w:color="auto" w:fill="FFFFFF"/>
          </w:tcPr>
          <w:p>
            <w:r>
              <w:rPr>
                <w:sz w:val="18"/>
              </w:rPr>
              <w:t>Diphtheria, Pertussis, Tetanus, Hepatitis B, Hib</w:t>
            </w:r>
          </w:p>
        </w:tc>
      </w:tr>
      <w:tr>
        <w:tc>
          <w:tcPr>
            <w:tcW w:type="dxa" w:w="3024"/>
            <w:shd w:val="clear" w:color="auto" w:fill="F4FAF7"/>
          </w:tcPr>
          <w:p>
            <w:r>
              <w:rPr>
                <w:b/>
                <w:color w:val="005F60"/>
                <w:sz w:val="18"/>
              </w:rPr>
              <w:t>10 weeks</w:t>
            </w:r>
          </w:p>
        </w:tc>
        <w:tc>
          <w:tcPr>
            <w:tcW w:type="dxa" w:w="3024"/>
            <w:shd w:val="clear" w:color="auto" w:fill="F4FAF7"/>
          </w:tcPr>
          <w:p>
            <w:r>
              <w:rPr>
                <w:sz w:val="18"/>
              </w:rPr>
              <w:t>PCV 2</w:t>
            </w:r>
          </w:p>
        </w:tc>
        <w:tc>
          <w:tcPr>
            <w:tcW w:type="dxa" w:w="3024"/>
            <w:shd w:val="clear" w:color="auto" w:fill="F4FAF7"/>
          </w:tcPr>
          <w:p>
            <w:r>
              <w:rPr>
                <w:sz w:val="18"/>
              </w:rPr>
              <w:t>Pneumonia, meningitis</w:t>
            </w:r>
          </w:p>
        </w:tc>
      </w:tr>
      <w:tr>
        <w:tc>
          <w:tcPr>
            <w:tcW w:type="dxa" w:w="3024"/>
            <w:shd w:val="clear" w:color="auto" w:fill="FFFFFF"/>
          </w:tcPr>
          <w:p>
            <w:r>
              <w:rPr>
                <w:b/>
                <w:color w:val="005F60"/>
                <w:sz w:val="18"/>
              </w:rPr>
              <w:t>10 weeks</w:t>
            </w:r>
          </w:p>
        </w:tc>
        <w:tc>
          <w:tcPr>
            <w:tcW w:type="dxa" w:w="3024"/>
            <w:shd w:val="clear" w:color="auto" w:fill="FFFFFF"/>
          </w:tcPr>
          <w:p>
            <w:r>
              <w:rPr>
                <w:sz w:val="18"/>
              </w:rPr>
              <w:t>Rotavirus 2</w:t>
            </w:r>
          </w:p>
        </w:tc>
        <w:tc>
          <w:tcPr>
            <w:tcW w:type="dxa" w:w="3024"/>
            <w:shd w:val="clear" w:color="auto" w:fill="FFFFFF"/>
          </w:tcPr>
          <w:p>
            <w:r>
              <w:rPr>
                <w:sz w:val="18"/>
              </w:rPr>
              <w:t>Rotavirus diarrhoea</w:t>
            </w:r>
          </w:p>
        </w:tc>
      </w:tr>
      <w:tr>
        <w:tc>
          <w:tcPr>
            <w:tcW w:type="dxa" w:w="3024"/>
            <w:shd w:val="clear" w:color="auto" w:fill="F4FAF7"/>
          </w:tcPr>
          <w:p>
            <w:r>
              <w:rPr>
                <w:b/>
                <w:color w:val="005F60"/>
                <w:sz w:val="18"/>
              </w:rPr>
              <w:t>14 weeks</w:t>
            </w:r>
          </w:p>
        </w:tc>
        <w:tc>
          <w:tcPr>
            <w:tcW w:type="dxa" w:w="3024"/>
            <w:shd w:val="clear" w:color="auto" w:fill="F4FAF7"/>
          </w:tcPr>
          <w:p>
            <w:r>
              <w:rPr>
                <w:sz w:val="18"/>
              </w:rPr>
              <w:t>OPV 3</w:t>
            </w:r>
          </w:p>
        </w:tc>
        <w:tc>
          <w:tcPr>
            <w:tcW w:type="dxa" w:w="3024"/>
            <w:shd w:val="clear" w:color="auto" w:fill="F4FAF7"/>
          </w:tcPr>
          <w:p>
            <w:r>
              <w:rPr>
                <w:sz w:val="18"/>
              </w:rPr>
              <w:t>Poliomyelitis</w:t>
            </w:r>
          </w:p>
        </w:tc>
      </w:tr>
      <w:tr>
        <w:tc>
          <w:tcPr>
            <w:tcW w:type="dxa" w:w="3024"/>
            <w:shd w:val="clear" w:color="auto" w:fill="FFFFFF"/>
          </w:tcPr>
          <w:p>
            <w:r>
              <w:rPr>
                <w:b/>
                <w:color w:val="005F60"/>
                <w:sz w:val="18"/>
              </w:rPr>
              <w:t>14 weeks</w:t>
            </w:r>
          </w:p>
        </w:tc>
        <w:tc>
          <w:tcPr>
            <w:tcW w:type="dxa" w:w="3024"/>
            <w:shd w:val="clear" w:color="auto" w:fill="FFFFFF"/>
          </w:tcPr>
          <w:p>
            <w:r>
              <w:rPr>
                <w:sz w:val="18"/>
              </w:rPr>
              <w:t>IPV 1 (Inactivated Polio)</w:t>
            </w:r>
          </w:p>
        </w:tc>
        <w:tc>
          <w:tcPr>
            <w:tcW w:type="dxa" w:w="3024"/>
            <w:shd w:val="clear" w:color="auto" w:fill="FFFFFF"/>
          </w:tcPr>
          <w:p>
            <w:r>
              <w:rPr>
                <w:sz w:val="18"/>
              </w:rPr>
              <w:t>Poliomyelitis (injectable, for stronger immunity)</w:t>
            </w:r>
          </w:p>
        </w:tc>
      </w:tr>
      <w:tr>
        <w:tc>
          <w:tcPr>
            <w:tcW w:type="dxa" w:w="3024"/>
            <w:shd w:val="clear" w:color="auto" w:fill="F4FAF7"/>
          </w:tcPr>
          <w:p>
            <w:r>
              <w:rPr>
                <w:b/>
                <w:color w:val="005F60"/>
                <w:sz w:val="18"/>
              </w:rPr>
              <w:t>14 weeks</w:t>
            </w:r>
          </w:p>
        </w:tc>
        <w:tc>
          <w:tcPr>
            <w:tcW w:type="dxa" w:w="3024"/>
            <w:shd w:val="clear" w:color="auto" w:fill="F4FAF7"/>
          </w:tcPr>
          <w:p>
            <w:r>
              <w:rPr>
                <w:sz w:val="18"/>
              </w:rPr>
              <w:t>DPT-HepB-Hib 3</w:t>
            </w:r>
          </w:p>
        </w:tc>
        <w:tc>
          <w:tcPr>
            <w:tcW w:type="dxa" w:w="3024"/>
            <w:shd w:val="clear" w:color="auto" w:fill="F4FAF7"/>
          </w:tcPr>
          <w:p>
            <w:r>
              <w:rPr>
                <w:sz w:val="18"/>
              </w:rPr>
              <w:t>Diphtheria, Pertussis, Tetanus, Hepatitis B, Hib</w:t>
            </w:r>
          </w:p>
        </w:tc>
      </w:tr>
      <w:tr>
        <w:tc>
          <w:tcPr>
            <w:tcW w:type="dxa" w:w="3024"/>
            <w:shd w:val="clear" w:color="auto" w:fill="FFFFFF"/>
          </w:tcPr>
          <w:p>
            <w:r>
              <w:rPr>
                <w:b/>
                <w:color w:val="005F60"/>
                <w:sz w:val="18"/>
              </w:rPr>
              <w:t>14 weeks</w:t>
            </w:r>
          </w:p>
        </w:tc>
        <w:tc>
          <w:tcPr>
            <w:tcW w:type="dxa" w:w="3024"/>
            <w:shd w:val="clear" w:color="auto" w:fill="FFFFFF"/>
          </w:tcPr>
          <w:p>
            <w:r>
              <w:rPr>
                <w:sz w:val="18"/>
              </w:rPr>
              <w:t>PCV 3</w:t>
            </w:r>
          </w:p>
        </w:tc>
        <w:tc>
          <w:tcPr>
            <w:tcW w:type="dxa" w:w="3024"/>
            <w:shd w:val="clear" w:color="auto" w:fill="FFFFFF"/>
          </w:tcPr>
          <w:p>
            <w:r>
              <w:rPr>
                <w:sz w:val="18"/>
              </w:rPr>
              <w:t>Pneumonia, meningitis</w:t>
            </w:r>
          </w:p>
        </w:tc>
      </w:tr>
      <w:tr>
        <w:tc>
          <w:tcPr>
            <w:tcW w:type="dxa" w:w="3024"/>
            <w:shd w:val="clear" w:color="auto" w:fill="F4FAF7"/>
          </w:tcPr>
          <w:p>
            <w:r>
              <w:rPr>
                <w:b/>
                <w:color w:val="005F60"/>
                <w:sz w:val="18"/>
              </w:rPr>
              <w:t>9 months</w:t>
            </w:r>
          </w:p>
        </w:tc>
        <w:tc>
          <w:tcPr>
            <w:tcW w:type="dxa" w:w="3024"/>
            <w:shd w:val="clear" w:color="auto" w:fill="F4FAF7"/>
          </w:tcPr>
          <w:p>
            <w:r>
              <w:rPr>
                <w:sz w:val="18"/>
              </w:rPr>
              <w:t>MR 1 (Measles-Rubella)</w:t>
            </w:r>
          </w:p>
        </w:tc>
        <w:tc>
          <w:tcPr>
            <w:tcW w:type="dxa" w:w="3024"/>
            <w:shd w:val="clear" w:color="auto" w:fill="F4FAF7"/>
          </w:tcPr>
          <w:p>
            <w:r>
              <w:rPr>
                <w:sz w:val="18"/>
              </w:rPr>
              <w:t>Measles and Rubella</w:t>
            </w:r>
          </w:p>
        </w:tc>
      </w:tr>
      <w:tr>
        <w:tc>
          <w:tcPr>
            <w:tcW w:type="dxa" w:w="3024"/>
            <w:shd w:val="clear" w:color="auto" w:fill="FFFFFF"/>
          </w:tcPr>
          <w:p>
            <w:r>
              <w:rPr>
                <w:b/>
                <w:color w:val="005F60"/>
                <w:sz w:val="18"/>
              </w:rPr>
              <w:t>9 months</w:t>
            </w:r>
          </w:p>
        </w:tc>
        <w:tc>
          <w:tcPr>
            <w:tcW w:type="dxa" w:w="3024"/>
            <w:shd w:val="clear" w:color="auto" w:fill="FFFFFF"/>
          </w:tcPr>
          <w:p>
            <w:r>
              <w:rPr>
                <w:sz w:val="18"/>
              </w:rPr>
              <w:t>Yellow Fever</w:t>
            </w:r>
          </w:p>
        </w:tc>
        <w:tc>
          <w:tcPr>
            <w:tcW w:type="dxa" w:w="3024"/>
            <w:shd w:val="clear" w:color="auto" w:fill="FFFFFF"/>
          </w:tcPr>
          <w:p>
            <w:r>
              <w:rPr>
                <w:sz w:val="18"/>
              </w:rPr>
              <w:t>Yellow Fever (endemic areas: western Kenya, Coast)</w:t>
            </w:r>
          </w:p>
        </w:tc>
      </w:tr>
      <w:tr>
        <w:tc>
          <w:tcPr>
            <w:tcW w:type="dxa" w:w="3024"/>
            <w:shd w:val="clear" w:color="auto" w:fill="F4FAF7"/>
          </w:tcPr>
          <w:p>
            <w:r>
              <w:rPr>
                <w:b/>
                <w:color w:val="005F60"/>
                <w:sz w:val="18"/>
              </w:rPr>
              <w:t>9 months</w:t>
            </w:r>
          </w:p>
        </w:tc>
        <w:tc>
          <w:tcPr>
            <w:tcW w:type="dxa" w:w="3024"/>
            <w:shd w:val="clear" w:color="auto" w:fill="F4FAF7"/>
          </w:tcPr>
          <w:p>
            <w:r>
              <w:rPr>
                <w:sz w:val="18"/>
              </w:rPr>
              <w:t>Vitamin A</w:t>
            </w:r>
          </w:p>
        </w:tc>
        <w:tc>
          <w:tcPr>
            <w:tcW w:type="dxa" w:w="3024"/>
            <w:shd w:val="clear" w:color="auto" w:fill="F4FAF7"/>
          </w:tcPr>
          <w:p>
            <w:r>
              <w:rPr>
                <w:sz w:val="18"/>
              </w:rPr>
              <w:t>Vitamin A deficiency prevention</w:t>
            </w:r>
          </w:p>
        </w:tc>
      </w:tr>
      <w:tr>
        <w:tc>
          <w:tcPr>
            <w:tcW w:type="dxa" w:w="3024"/>
            <w:shd w:val="clear" w:color="auto" w:fill="FFFFFF"/>
          </w:tcPr>
          <w:p>
            <w:r>
              <w:rPr>
                <w:b/>
                <w:color w:val="005F60"/>
                <w:sz w:val="18"/>
              </w:rPr>
              <w:t>18 months</w:t>
            </w:r>
          </w:p>
        </w:tc>
        <w:tc>
          <w:tcPr>
            <w:tcW w:type="dxa" w:w="3024"/>
            <w:shd w:val="clear" w:color="auto" w:fill="FFFFFF"/>
          </w:tcPr>
          <w:p>
            <w:r>
              <w:rPr>
                <w:sz w:val="18"/>
              </w:rPr>
              <w:t>MR 2</w:t>
            </w:r>
          </w:p>
        </w:tc>
        <w:tc>
          <w:tcPr>
            <w:tcW w:type="dxa" w:w="3024"/>
            <w:shd w:val="clear" w:color="auto" w:fill="FFFFFF"/>
          </w:tcPr>
          <w:p>
            <w:r>
              <w:rPr>
                <w:sz w:val="18"/>
              </w:rPr>
              <w:t>Measles-Rubella booster</w:t>
            </w:r>
          </w:p>
        </w:tc>
      </w:tr>
      <w:tr>
        <w:tc>
          <w:tcPr>
            <w:tcW w:type="dxa" w:w="3024"/>
            <w:shd w:val="clear" w:color="auto" w:fill="F4FAF7"/>
          </w:tcPr>
          <w:p>
            <w:r>
              <w:rPr>
                <w:b/>
                <w:color w:val="005F60"/>
                <w:sz w:val="18"/>
              </w:rPr>
              <w:t>18 months</w:t>
            </w:r>
          </w:p>
        </w:tc>
        <w:tc>
          <w:tcPr>
            <w:tcW w:type="dxa" w:w="3024"/>
            <w:shd w:val="clear" w:color="auto" w:fill="F4FAF7"/>
          </w:tcPr>
          <w:p>
            <w:r>
              <w:rPr>
                <w:sz w:val="18"/>
              </w:rPr>
              <w:t>DPT booster</w:t>
            </w:r>
          </w:p>
        </w:tc>
        <w:tc>
          <w:tcPr>
            <w:tcW w:type="dxa" w:w="3024"/>
            <w:shd w:val="clear" w:color="auto" w:fill="F4FAF7"/>
          </w:tcPr>
          <w:p>
            <w:r>
              <w:rPr>
                <w:sz w:val="18"/>
              </w:rPr>
              <w:t>Diphtheria, Pertussis, Tetanus</w:t>
            </w:r>
          </w:p>
        </w:tc>
      </w:tr>
      <w:tr>
        <w:tc>
          <w:tcPr>
            <w:tcW w:type="dxa" w:w="3024"/>
            <w:shd w:val="clear" w:color="auto" w:fill="FFFFFF"/>
          </w:tcPr>
          <w:p>
            <w:r>
              <w:rPr>
                <w:b/>
                <w:color w:val="005F60"/>
                <w:sz w:val="18"/>
              </w:rPr>
              <w:t>18 months</w:t>
            </w:r>
          </w:p>
        </w:tc>
        <w:tc>
          <w:tcPr>
            <w:tcW w:type="dxa" w:w="3024"/>
            <w:shd w:val="clear" w:color="auto" w:fill="FFFFFF"/>
          </w:tcPr>
          <w:p>
            <w:r>
              <w:rPr>
                <w:sz w:val="18"/>
              </w:rPr>
              <w:t>OPV booster</w:t>
            </w:r>
          </w:p>
        </w:tc>
        <w:tc>
          <w:tcPr>
            <w:tcW w:type="dxa" w:w="3024"/>
            <w:shd w:val="clear" w:color="auto" w:fill="FFFFFF"/>
          </w:tcPr>
          <w:p>
            <w:r>
              <w:rPr>
                <w:sz w:val="18"/>
              </w:rPr>
              <w:t>Poliomyelitis</w:t>
            </w:r>
          </w:p>
        </w:tc>
      </w:tr>
      <w:tr>
        <w:tc>
          <w:tcPr>
            <w:tcW w:type="dxa" w:w="3024"/>
            <w:shd w:val="clear" w:color="auto" w:fill="F4FAF7"/>
          </w:tcPr>
          <w:p>
            <w:r>
              <w:rPr>
                <w:b/>
                <w:color w:val="005F60"/>
                <w:sz w:val="18"/>
              </w:rPr>
              <w:t>18 months</w:t>
            </w:r>
          </w:p>
        </w:tc>
        <w:tc>
          <w:tcPr>
            <w:tcW w:type="dxa" w:w="3024"/>
            <w:shd w:val="clear" w:color="auto" w:fill="F4FAF7"/>
          </w:tcPr>
          <w:p>
            <w:r>
              <w:rPr>
                <w:sz w:val="18"/>
              </w:rPr>
              <w:t>Vitamin A</w:t>
            </w:r>
          </w:p>
        </w:tc>
        <w:tc>
          <w:tcPr>
            <w:tcW w:type="dxa" w:w="3024"/>
            <w:shd w:val="clear" w:color="auto" w:fill="F4FAF7"/>
          </w:tcPr>
          <w:p>
            <w:r>
              <w:rPr>
                <w:sz w:val="18"/>
              </w:rPr>
              <w:t>6-monthly until 5 years</w:t>
            </w:r>
          </w:p>
        </w:tc>
      </w:tr>
      <w:tr>
        <w:tc>
          <w:tcPr>
            <w:tcW w:type="dxa" w:w="3024"/>
            <w:shd w:val="clear" w:color="auto" w:fill="FFFFFF"/>
          </w:tcPr>
          <w:p>
            <w:r>
              <w:rPr>
                <w:b/>
                <w:color w:val="005F60"/>
                <w:sz w:val="18"/>
              </w:rPr>
              <w:t>10 years (Girls)</w:t>
            </w:r>
          </w:p>
        </w:tc>
        <w:tc>
          <w:tcPr>
            <w:tcW w:type="dxa" w:w="3024"/>
            <w:shd w:val="clear" w:color="auto" w:fill="FFFFFF"/>
          </w:tcPr>
          <w:p>
            <w:r>
              <w:rPr>
                <w:sz w:val="18"/>
              </w:rPr>
              <w:t>HPV Vaccine</w:t>
            </w:r>
          </w:p>
        </w:tc>
        <w:tc>
          <w:tcPr>
            <w:tcW w:type="dxa" w:w="3024"/>
            <w:shd w:val="clear" w:color="auto" w:fill="FFFFFF"/>
          </w:tcPr>
          <w:p>
            <w:r>
              <w:rPr>
                <w:sz w:val="18"/>
              </w:rPr>
              <w:t>Cervical cancer prevention (2 doses, 6 months apart)</w:t>
            </w:r>
          </w:p>
        </w:tc>
      </w:tr>
    </w:tbl>
    <w:p/>
    <w:p>
      <w:pPr>
        <w:spacing w:before="160" w:after="40"/>
        <w:pBdr>
          <w:bottom w:val="single" w:sz="4" w:space="1" w:color="005F60"/>
        </w:pBdr>
      </w:pPr>
      <w:r>
        <w:rPr>
          <w:b/>
          <w:color w:val="005F60"/>
          <w:sz w:val="23"/>
        </w:rPr>
        <w:t>IMPORTANT NOTES FOR PARENTS</w:t>
      </w:r>
    </w:p>
    <w:p>
      <w:pPr>
        <w:pStyle w:val="ListBullet"/>
        <w:spacing w:after="40"/>
      </w:pPr>
      <w:r>
        <w:rPr>
          <w:sz w:val="21"/>
        </w:rPr>
        <w:t>Keep your child's immunisation card safe — bring it to every visit including TFMC OPD.</w:t>
      </w:r>
    </w:p>
    <w:p>
      <w:pPr>
        <w:pStyle w:val="ListBullet"/>
        <w:spacing w:after="40"/>
      </w:pPr>
      <w:r>
        <w:rPr>
          <w:sz w:val="21"/>
        </w:rPr>
        <w:t>Never miss a scheduled dose — delayed immunisation leaves your child unprotected.</w:t>
      </w:r>
    </w:p>
    <w:p>
      <w:pPr>
        <w:pStyle w:val="ListBullet"/>
        <w:spacing w:after="40"/>
      </w:pPr>
      <w:r>
        <w:rPr>
          <w:sz w:val="21"/>
        </w:rPr>
        <w:t>If a dose is missed, do not restart — continue from where you left off. TFMC nurses will advise.</w:t>
      </w:r>
    </w:p>
    <w:p>
      <w:pPr>
        <w:pStyle w:val="ListBullet"/>
        <w:spacing w:after="40"/>
      </w:pPr>
      <w:r>
        <w:rPr>
          <w:sz w:val="21"/>
        </w:rPr>
        <w:t>Side effects are usually mild: small lump at injection site, low fever, mild crying. These resolve in 1–2 days.</w:t>
      </w:r>
    </w:p>
    <w:p>
      <w:pPr>
        <w:pStyle w:val="ListBullet"/>
        <w:spacing w:after="40"/>
      </w:pPr>
      <w:r>
        <w:rPr>
          <w:sz w:val="21"/>
        </w:rPr>
        <w:t>Paracetamol syrup can be given after vaccines if your child develops fever — ask TFMC pharmacy for correct dose.</w:t>
      </w:r>
    </w:p>
    <w:p>
      <w:pPr>
        <w:pStyle w:val="ListBullet"/>
        <w:spacing w:after="40"/>
      </w:pPr>
      <w:r>
        <w:rPr>
          <w:sz w:val="21"/>
        </w:rPr>
        <w:t>Serious reactions are very rare. Go to hospital immediately if child has difficulty breathing or severe rash after vaccine.</w:t>
      </w:r>
    </w:p>
    <w:p>
      <w:pPr>
        <w:pStyle w:val="ListBullet"/>
        <w:spacing w:after="40"/>
      </w:pPr>
      <w:r>
        <w:rPr>
          <w:sz w:val="21"/>
        </w:rPr>
        <w:t>All vaccines on this schedule are FREE at TFMC and all government health facilities in Kenya.</w:t>
      </w:r>
    </w:p>
    <w:p>
      <w:pPr>
        <w:pStyle w:val="ListBullet"/>
        <w:spacing w:after="40"/>
      </w:pPr>
      <w:r>
        <w:rPr>
          <w:sz w:val="21"/>
        </w:rPr>
        <w:t>Additional vaccines (not on routine schedule): Typhoid, Meningococcal, Varicella, Hepatitis A — available at TFMC pharmacy at cost.</w:t>
      </w:r>
    </w:p>
    <w:p>
      <w:pPr>
        <w:spacing w:after="60"/>
      </w:pPr>
      <w:r>
        <w:rPr>
          <w:b/>
          <w:color w:val="005F60"/>
          <w:sz w:val="21"/>
        </w:rPr>
        <w:t>Book your child's next immunisation at TFMC: 0715 923 231 | appointments@tfmc.co.ke</w:t>
      </w:r>
    </w:p>
    <w:p/>
    <w:p>
      <w:pPr>
        <w:pBdr>
          <w:bottom w:val="single" w:sz="4" w:space="1" w:color="D9EBE5"/>
        </w:pBdr>
      </w:pPr>
    </w:p>
    <w:p>
      <w:pPr>
        <w:jc w:val="center"/>
      </w:pPr>
      <w:r>
        <w:rPr>
          <w:i/>
          <w:color w:val="5A746F"/>
          <w:sz w:val="15"/>
        </w:rPr>
        <w:t>Source: MOH Kenya Expanded Programme on Immunisation (KEPI) 2024. | 0715 923 231 | info@tfmc.co.ke</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