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024"/>
        <w:gridCol w:w="3024"/>
        <w:gridCol w:w="3024"/>
      </w:tblGrid>
      <w:tr>
        <w:tc>
          <w:tcPr>
            <w:tcW w:type="dxa" w:w="1417"/>
            <w:shd w:val="clear" w:color="auto" w:fill="FFFFFF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792000" cy="527472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white_bg_sm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527472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5953"/>
            <w:shd w:val="clear" w:color="auto" w:fill="005F60"/>
            <w:vAlign w:val="center"/>
          </w:tcPr>
          <w:p>
            <w:r>
              <w:rPr>
                <w:b/>
                <w:color w:val="FFFFFF"/>
                <w:sz w:val="24"/>
              </w:rPr>
              <w:t>TIM'S FAMILY MEDICAL CLINIC</w:t>
            </w:r>
          </w:p>
          <w:p>
            <w:r>
              <w:rPr>
                <w:i/>
                <w:color w:val="AADDCC"/>
                <w:sz w:val="16"/>
              </w:rPr>
              <w:t>Smart Health. Connected Care. For Kenya's Future.</w:t>
            </w:r>
          </w:p>
          <w:p>
            <w:r>
              <w:rPr>
                <w:color w:val="CCEEDD"/>
                <w:sz w:val="15"/>
              </w:rPr>
              <w:t>Tel: 0715 923 231  |  info@tfmc.co.ke  |  www.tfmc.co.ke  |  Nairobi, Kenya</w:t>
            </w:r>
          </w:p>
        </w:tc>
        <w:tc>
          <w:tcPr>
            <w:tcW w:type="dxa" w:w="2268"/>
            <w:shd w:val="clear" w:color="auto" w:fill="003366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TFMC-GUIDE-005</w:t>
            </w:r>
          </w:p>
          <w:p>
            <w:pPr>
              <w:jc w:val="center"/>
            </w:pPr>
            <w:r>
              <w:rPr>
                <w:color w:val="BBCCFF"/>
                <w:sz w:val="15"/>
              </w:rPr>
              <w:t>Date: 17 May 2026</w:t>
            </w:r>
          </w:p>
          <w:p>
            <w:pPr>
              <w:jc w:val="center"/>
            </w:pPr>
            <w:r>
              <w:rPr>
                <w:i/>
                <w:color w:val="88DDAA"/>
                <w:sz w:val="14"/>
              </w:rPr>
              <w:t>SHA &amp; SHIF Accredited</w:t>
            </w:r>
          </w:p>
        </w:tc>
      </w:tr>
    </w:tbl>
    <w:p/>
    <w:p>
      <w:pPr>
        <w:jc w:val="center"/>
        <w:pBdr>
          <w:bottom w:val="single" w:sz="10" w:space="1" w:color="005F60"/>
        </w:pBdr>
      </w:pPr>
      <w:r>
        <w:rPr>
          <w:b/>
          <w:color w:val="005F60"/>
          <w:sz w:val="30"/>
        </w:rPr>
        <w:t>HOW TO USE YOUR SHA / SHIF CARD AT TFMC</w:t>
      </w:r>
    </w:p>
    <w:p>
      <w:pPr>
        <w:jc w:val="center"/>
      </w:pPr>
      <w:r>
        <w:rPr>
          <w:i/>
          <w:color w:val="5A746F"/>
          <w:sz w:val="19"/>
        </w:rPr>
        <w:t>Step-by-Step Guide for Patients | SHA &amp; SHIF Accredited Provider</w:t>
      </w:r>
    </w:p>
    <w:p/>
    <w:p>
      <w:pPr>
        <w:spacing w:after="60"/>
      </w:pPr>
      <w:r>
        <w:rPr>
          <w:b/>
          <w:color w:val="005F60"/>
          <w:sz w:val="21"/>
        </w:rPr>
        <w:t>Tim's Family Medical Clinic (TFMC) is an accredited Social Health Authority (SHA) and SHIF (Social Health Insurance Fund) provider. Your SHA/SHIF card covers many healthcare services at no out-of-pocket cost. This guide explains exactly how to access your benefits at TFMC.</w:t>
      </w:r>
    </w:p>
    <w:p>
      <w:pPr>
        <w:spacing w:before="160" w:after="40"/>
        <w:pBdr>
          <w:bottom w:val="single" w:sz="4" w:space="1" w:color="005F60"/>
        </w:pBdr>
      </w:pPr>
      <w:r>
        <w:rPr>
          <w:b/>
          <w:color w:val="005F60"/>
          <w:sz w:val="23"/>
        </w:rPr>
        <w:t>WHAT IS SHA / SHIF?</w:t>
      </w:r>
    </w:p>
    <w:p>
      <w:pPr>
        <w:spacing w:after="60"/>
      </w:pPr>
      <w:r>
        <w:rPr>
          <w:b w:val="0"/>
          <w:sz w:val="21"/>
        </w:rPr>
        <w:t>SHA (Social Health Authority) is Kenya's universal health coverage scheme, replacing NHIF from 2024. Every Kenyan household is registered. SHIF (Social Health Insurance Fund) is the contributory scheme within SHA — employed persons contribute based on salary, others contribute KES 500/month.</w:t>
      </w:r>
    </w:p>
    <w:p>
      <w:pPr>
        <w:spacing w:after="60"/>
      </w:pPr>
      <w:r>
        <w:rPr>
          <w:b w:val="0"/>
          <w:sz w:val="21"/>
        </w:rPr>
        <w:t>Your SHA benefits include: outpatient care, laboratory tests, pharmacy, maternity care, chronic disease management, and emergency care at accredited facilities like TFMC.</w:t>
      </w:r>
    </w:p>
    <w:p>
      <w:pPr>
        <w:spacing w:before="160" w:after="40"/>
        <w:pBdr>
          <w:bottom w:val="single" w:sz="4" w:space="1" w:color="005F60"/>
        </w:pBdr>
      </w:pPr>
      <w:r>
        <w:rPr>
          <w:b/>
          <w:color w:val="005F60"/>
          <w:sz w:val="23"/>
        </w:rPr>
        <w:t>STEP-BY-STEP GUIDE AT TFMC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850"/>
        <w:gridCol w:w="8787"/>
      </w:tblGrid>
      <w:tr>
        <w:tc>
          <w:tcPr>
            <w:tcW w:type="dxa" w:w="4536"/>
            <w:shd w:val="clear" w:color="auto" w:fill="F4FAF7"/>
          </w:tcPr>
          <w:p>
            <w:pPr>
              <w:jc w:val="center"/>
            </w:pPr>
            <w:r>
              <w:rPr>
                <w:b/>
                <w:color w:val="FFFFFF"/>
                <w:sz w:val="28"/>
              </w:rPr>
              <w:t>1</w:t>
            </w:r>
          </w:p>
        </w:tc>
        <w:tc>
          <w:tcPr>
            <w:tcW w:type="dxa" w:w="4536"/>
          </w:tcPr>
          <w:p>
            <w:r>
              <w:rPr>
                <w:b/>
                <w:color w:val="005F60"/>
                <w:sz w:val="21"/>
              </w:rPr>
              <w:t>Step 1 — Arrive at TFMC reception</w:t>
            </w:r>
          </w:p>
          <w:p>
            <w:r>
              <w:rPr>
                <w:sz w:val="20"/>
              </w:rPr>
              <w:t>Present your SHA/SHIF card (physical or digital on Afya Yangu app) at registration. Ensure your card is active and not suspended.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850"/>
        <w:gridCol w:w="8787"/>
      </w:tblGrid>
      <w:tr>
        <w:tc>
          <w:tcPr>
            <w:tcW w:type="dxa" w:w="4536"/>
            <w:shd w:val="clear" w:color="auto" w:fill="F4FAF7"/>
          </w:tcPr>
          <w:p>
            <w:pPr>
              <w:jc w:val="center"/>
            </w:pPr>
            <w:r>
              <w:rPr>
                <w:b/>
                <w:color w:val="FFFFFF"/>
                <w:sz w:val="28"/>
              </w:rPr>
              <w:t>2</w:t>
            </w:r>
          </w:p>
        </w:tc>
        <w:tc>
          <w:tcPr>
            <w:tcW w:type="dxa" w:w="4536"/>
          </w:tcPr>
          <w:p>
            <w:r>
              <w:rPr>
                <w:b/>
                <w:color w:val="005F60"/>
                <w:sz w:val="21"/>
              </w:rPr>
              <w:t>Step 2 — Registration</w:t>
            </w:r>
          </w:p>
          <w:p>
            <w:r>
              <w:rPr>
                <w:sz w:val="20"/>
              </w:rPr>
              <w:t>Our Health Records Officer will verify your SHA/SHIF number on the SHA portal. This takes 2–3 minutes. Bring your National ID as a backup.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850"/>
        <w:gridCol w:w="8787"/>
      </w:tblGrid>
      <w:tr>
        <w:tc>
          <w:tcPr>
            <w:tcW w:type="dxa" w:w="4536"/>
            <w:shd w:val="clear" w:color="auto" w:fill="F4FAF7"/>
          </w:tcPr>
          <w:p>
            <w:pPr>
              <w:jc w:val="center"/>
            </w:pPr>
            <w:r>
              <w:rPr>
                <w:b/>
                <w:color w:val="FFFFFF"/>
                <w:sz w:val="28"/>
              </w:rPr>
              <w:t>3</w:t>
            </w:r>
          </w:p>
        </w:tc>
        <w:tc>
          <w:tcPr>
            <w:tcW w:type="dxa" w:w="4536"/>
          </w:tcPr>
          <w:p>
            <w:r>
              <w:rPr>
                <w:b/>
                <w:color w:val="005F60"/>
                <w:sz w:val="21"/>
              </w:rPr>
              <w:t>Step 3 — Consultation</w:t>
            </w:r>
          </w:p>
          <w:p>
            <w:r>
              <w:rPr>
                <w:sz w:val="20"/>
              </w:rPr>
              <w:t>See the doctor as normal. The doctor will document your diagnosis using ICD-10 codes as required by SHA.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850"/>
        <w:gridCol w:w="8787"/>
      </w:tblGrid>
      <w:tr>
        <w:tc>
          <w:tcPr>
            <w:tcW w:type="dxa" w:w="4536"/>
            <w:shd w:val="clear" w:color="auto" w:fill="F4FAF7"/>
          </w:tcPr>
          <w:p>
            <w:pPr>
              <w:jc w:val="center"/>
            </w:pPr>
            <w:r>
              <w:rPr>
                <w:b/>
                <w:color w:val="FFFFFF"/>
                <w:sz w:val="28"/>
              </w:rPr>
              <w:t>4</w:t>
            </w:r>
          </w:p>
        </w:tc>
        <w:tc>
          <w:tcPr>
            <w:tcW w:type="dxa" w:w="4536"/>
          </w:tcPr>
          <w:p>
            <w:r>
              <w:rPr>
                <w:b/>
                <w:color w:val="005F60"/>
                <w:sz w:val="21"/>
              </w:rPr>
              <w:t>Step 4 — Lab Tests</w:t>
            </w:r>
          </w:p>
          <w:p>
            <w:r>
              <w:rPr>
                <w:sz w:val="20"/>
              </w:rPr>
              <w:t>If tests are requested, take the lab request form to our laboratory. Show your SHA card — eligible tests will be billed to SHA directly.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850"/>
        <w:gridCol w:w="8787"/>
      </w:tblGrid>
      <w:tr>
        <w:tc>
          <w:tcPr>
            <w:tcW w:type="dxa" w:w="4536"/>
            <w:shd w:val="clear" w:color="auto" w:fill="F4FAF7"/>
          </w:tcPr>
          <w:p>
            <w:pPr>
              <w:jc w:val="center"/>
            </w:pPr>
            <w:r>
              <w:rPr>
                <w:b/>
                <w:color w:val="FFFFFF"/>
                <w:sz w:val="28"/>
              </w:rPr>
              <w:t>5</w:t>
            </w:r>
          </w:p>
        </w:tc>
        <w:tc>
          <w:tcPr>
            <w:tcW w:type="dxa" w:w="4536"/>
          </w:tcPr>
          <w:p>
            <w:r>
              <w:rPr>
                <w:b/>
                <w:color w:val="005F60"/>
                <w:sz w:val="21"/>
              </w:rPr>
              <w:t>Step 5 — Pharmacy</w:t>
            </w:r>
          </w:p>
          <w:p>
            <w:r>
              <w:rPr>
                <w:sz w:val="20"/>
              </w:rPr>
              <w:t>Collect your prescription at our pharmacy. Show your SHA card — SHA-covered medications on the Essential Medicines List are dispensed at no charge.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850"/>
        <w:gridCol w:w="8787"/>
      </w:tblGrid>
      <w:tr>
        <w:tc>
          <w:tcPr>
            <w:tcW w:type="dxa" w:w="4536"/>
            <w:shd w:val="clear" w:color="auto" w:fill="F4FAF7"/>
          </w:tcPr>
          <w:p>
            <w:pPr>
              <w:jc w:val="center"/>
            </w:pPr>
            <w:r>
              <w:rPr>
                <w:b/>
                <w:color w:val="FFFFFF"/>
                <w:sz w:val="28"/>
              </w:rPr>
              <w:t>6</w:t>
            </w:r>
          </w:p>
        </w:tc>
        <w:tc>
          <w:tcPr>
            <w:tcW w:type="dxa" w:w="4536"/>
          </w:tcPr>
          <w:p>
            <w:r>
              <w:rPr>
                <w:b/>
                <w:color w:val="005F60"/>
                <w:sz w:val="21"/>
              </w:rPr>
              <w:t>Step 6 — Billing</w:t>
            </w:r>
          </w:p>
          <w:p>
            <w:r>
              <w:rPr>
                <w:sz w:val="20"/>
              </w:rPr>
              <w:t>Our billing team submits your claim to SHA electronically. You sign the claim summary. No cash payment required for covered services.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850"/>
        <w:gridCol w:w="8787"/>
      </w:tblGrid>
      <w:tr>
        <w:tc>
          <w:tcPr>
            <w:tcW w:type="dxa" w:w="4536"/>
            <w:shd w:val="clear" w:color="auto" w:fill="F4FAF7"/>
          </w:tcPr>
          <w:p>
            <w:pPr>
              <w:jc w:val="center"/>
            </w:pPr>
            <w:r>
              <w:rPr>
                <w:b/>
                <w:color w:val="FFFFFF"/>
                <w:sz w:val="28"/>
              </w:rPr>
              <w:t>7</w:t>
            </w:r>
          </w:p>
        </w:tc>
        <w:tc>
          <w:tcPr>
            <w:tcW w:type="dxa" w:w="4536"/>
          </w:tcPr>
          <w:p>
            <w:r>
              <w:rPr>
                <w:b/>
                <w:color w:val="005F60"/>
                <w:sz w:val="21"/>
              </w:rPr>
              <w:t>Step 7 — Co-payments</w:t>
            </w:r>
          </w:p>
          <w:p>
            <w:r>
              <w:rPr>
                <w:sz w:val="20"/>
              </w:rPr>
              <w:t>Some services have small co-payments that SHA does not cover. Our billing team will tell you in advance. M-Pesa and cash accepted.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850"/>
        <w:gridCol w:w="8787"/>
      </w:tblGrid>
      <w:tr>
        <w:tc>
          <w:tcPr>
            <w:tcW w:type="dxa" w:w="4536"/>
            <w:shd w:val="clear" w:color="auto" w:fill="F4FAF7"/>
          </w:tcPr>
          <w:p>
            <w:pPr>
              <w:jc w:val="center"/>
            </w:pPr>
            <w:r>
              <w:rPr>
                <w:b/>
                <w:color w:val="FFFFFF"/>
                <w:sz w:val="28"/>
              </w:rPr>
              <w:t>8</w:t>
            </w:r>
          </w:p>
        </w:tc>
        <w:tc>
          <w:tcPr>
            <w:tcW w:type="dxa" w:w="4536"/>
          </w:tcPr>
          <w:p>
            <w:r>
              <w:rPr>
                <w:b/>
                <w:color w:val="005F60"/>
                <w:sz w:val="21"/>
              </w:rPr>
              <w:t>Step 8 — Follow-up</w:t>
            </w:r>
          </w:p>
          <w:p>
            <w:r>
              <w:rPr>
                <w:sz w:val="20"/>
              </w:rPr>
              <w:t>Book your follow-up appointment at reception. For chronic conditions (diabetes, hypertension, HIV, TB) — regular follow-up is covered by SHA.</w:t>
            </w:r>
          </w:p>
        </w:tc>
      </w:tr>
    </w:tbl>
    <w:p/>
    <w:p>
      <w:pPr>
        <w:spacing w:before="160" w:after="40"/>
        <w:pBdr>
          <w:bottom w:val="single" w:sz="4" w:space="1" w:color="005F60"/>
        </w:pBdr>
      </w:pPr>
      <w:r>
        <w:rPr>
          <w:b/>
          <w:color w:val="005F60"/>
          <w:sz w:val="23"/>
        </w:rPr>
        <w:t>WHAT IS COVERED BY SHA AT TFMC?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  <w:shd w:val="clear" w:color="auto" w:fill="005F60"/>
          </w:tcPr>
          <w:p>
            <w:r>
              <w:rPr>
                <w:b/>
                <w:color w:val="FFFFFF"/>
                <w:sz w:val="19"/>
              </w:rPr>
              <w:t>Service</w:t>
            </w:r>
          </w:p>
        </w:tc>
        <w:tc>
          <w:tcPr>
            <w:tcW w:type="dxa" w:w="4536"/>
            <w:shd w:val="clear" w:color="auto" w:fill="005F60"/>
          </w:tcPr>
          <w:p>
            <w:r>
              <w:rPr>
                <w:b/>
                <w:color w:val="FFFFFF"/>
                <w:sz w:val="19"/>
              </w:rPr>
              <w:t>SHA Coverage</w:t>
            </w:r>
          </w:p>
        </w:tc>
      </w:tr>
      <w:tr>
        <w:tc>
          <w:tcPr>
            <w:tcW w:type="dxa" w:w="4536"/>
            <w:shd w:val="clear" w:color="auto" w:fill="F4FAF7"/>
          </w:tcPr>
          <w:p>
            <w:r>
              <w:rPr>
                <w:sz w:val="19"/>
              </w:rPr>
              <w:t>Outpatient consultation</w:t>
            </w:r>
          </w:p>
        </w:tc>
        <w:tc>
          <w:tcPr>
            <w:tcW w:type="dxa" w:w="4536"/>
            <w:shd w:val="clear" w:color="auto" w:fill="F4FAF7"/>
          </w:tcPr>
          <w:p>
            <w:r>
              <w:rPr>
                <w:b/>
                <w:color w:val="2E8B57"/>
                <w:sz w:val="19"/>
              </w:rPr>
              <w:t>Fully covered</w:t>
            </w:r>
          </w:p>
        </w:tc>
      </w:tr>
      <w:tr>
        <w:tc>
          <w:tcPr>
            <w:tcW w:type="dxa" w:w="4536"/>
            <w:shd w:val="clear" w:color="auto" w:fill="FFFFFF"/>
          </w:tcPr>
          <w:p>
            <w:r>
              <w:rPr>
                <w:sz w:val="19"/>
              </w:rPr>
              <w:t>Laboratory tests (selected)</w:t>
            </w:r>
          </w:p>
        </w:tc>
        <w:tc>
          <w:tcPr>
            <w:tcW w:type="dxa" w:w="4536"/>
            <w:shd w:val="clear" w:color="auto" w:fill="FFFFFF"/>
          </w:tcPr>
          <w:p>
            <w:r>
              <w:rPr>
                <w:b/>
                <w:color w:val="2E8B57"/>
                <w:sz w:val="19"/>
              </w:rPr>
              <w:t>Fully covered for SHA Essential tests</w:t>
            </w:r>
          </w:p>
        </w:tc>
      </w:tr>
      <w:tr>
        <w:tc>
          <w:tcPr>
            <w:tcW w:type="dxa" w:w="4536"/>
            <w:shd w:val="clear" w:color="auto" w:fill="F4FAF7"/>
          </w:tcPr>
          <w:p>
            <w:r>
              <w:rPr>
                <w:sz w:val="19"/>
              </w:rPr>
              <w:t>Essential medicines (KEML)</w:t>
            </w:r>
          </w:p>
        </w:tc>
        <w:tc>
          <w:tcPr>
            <w:tcW w:type="dxa" w:w="4536"/>
            <w:shd w:val="clear" w:color="auto" w:fill="F4FAF7"/>
          </w:tcPr>
          <w:p>
            <w:r>
              <w:rPr>
                <w:b/>
                <w:color w:val="2E8B57"/>
                <w:sz w:val="19"/>
              </w:rPr>
              <w:t>Fully covered on prescription</w:t>
            </w:r>
          </w:p>
        </w:tc>
      </w:tr>
      <w:tr>
        <w:tc>
          <w:tcPr>
            <w:tcW w:type="dxa" w:w="4536"/>
            <w:shd w:val="clear" w:color="auto" w:fill="FFFFFF"/>
          </w:tcPr>
          <w:p>
            <w:r>
              <w:rPr>
                <w:sz w:val="19"/>
              </w:rPr>
              <w:t>ANC (all 8 visits)</w:t>
            </w:r>
          </w:p>
        </w:tc>
        <w:tc>
          <w:tcPr>
            <w:tcW w:type="dxa" w:w="4536"/>
            <w:shd w:val="clear" w:color="auto" w:fill="FFFFFF"/>
          </w:tcPr>
          <w:p>
            <w:r>
              <w:rPr>
                <w:b/>
                <w:color w:val="2E8B57"/>
                <w:sz w:val="19"/>
              </w:rPr>
              <w:t>Fully covered</w:t>
            </w:r>
          </w:p>
        </w:tc>
      </w:tr>
      <w:tr>
        <w:tc>
          <w:tcPr>
            <w:tcW w:type="dxa" w:w="4536"/>
            <w:shd w:val="clear" w:color="auto" w:fill="F4FAF7"/>
          </w:tcPr>
          <w:p>
            <w:r>
              <w:rPr>
                <w:sz w:val="19"/>
              </w:rPr>
              <w:t>Immunisations</w:t>
            </w:r>
          </w:p>
        </w:tc>
        <w:tc>
          <w:tcPr>
            <w:tcW w:type="dxa" w:w="4536"/>
            <w:shd w:val="clear" w:color="auto" w:fill="F4FAF7"/>
          </w:tcPr>
          <w:p>
            <w:r>
              <w:rPr>
                <w:b/>
                <w:color w:val="2E8B57"/>
                <w:sz w:val="19"/>
              </w:rPr>
              <w:t>Fully covered</w:t>
            </w:r>
          </w:p>
        </w:tc>
      </w:tr>
      <w:tr>
        <w:tc>
          <w:tcPr>
            <w:tcW w:type="dxa" w:w="4536"/>
            <w:shd w:val="clear" w:color="auto" w:fill="FFFFFF"/>
          </w:tcPr>
          <w:p>
            <w:r>
              <w:rPr>
                <w:sz w:val="19"/>
              </w:rPr>
              <w:t>HIV testing and ART</w:t>
            </w:r>
          </w:p>
        </w:tc>
        <w:tc>
          <w:tcPr>
            <w:tcW w:type="dxa" w:w="4536"/>
            <w:shd w:val="clear" w:color="auto" w:fill="FFFFFF"/>
          </w:tcPr>
          <w:p>
            <w:r>
              <w:rPr>
                <w:b/>
                <w:color w:val="2E8B57"/>
                <w:sz w:val="19"/>
              </w:rPr>
              <w:t>FREE — fully subsidised</w:t>
            </w:r>
          </w:p>
        </w:tc>
      </w:tr>
      <w:tr>
        <w:tc>
          <w:tcPr>
            <w:tcW w:type="dxa" w:w="4536"/>
            <w:shd w:val="clear" w:color="auto" w:fill="F4FAF7"/>
          </w:tcPr>
          <w:p>
            <w:r>
              <w:rPr>
                <w:sz w:val="19"/>
              </w:rPr>
              <w:t>TB diagnosis and treatment</w:t>
            </w:r>
          </w:p>
        </w:tc>
        <w:tc>
          <w:tcPr>
            <w:tcW w:type="dxa" w:w="4536"/>
            <w:shd w:val="clear" w:color="auto" w:fill="F4FAF7"/>
          </w:tcPr>
          <w:p>
            <w:r>
              <w:rPr>
                <w:b/>
                <w:color w:val="2E8B57"/>
                <w:sz w:val="19"/>
              </w:rPr>
              <w:t>FREE — fully subsidised</w:t>
            </w:r>
          </w:p>
        </w:tc>
      </w:tr>
      <w:tr>
        <w:tc>
          <w:tcPr>
            <w:tcW w:type="dxa" w:w="4536"/>
            <w:shd w:val="clear" w:color="auto" w:fill="FFFFFF"/>
          </w:tcPr>
          <w:p>
            <w:r>
              <w:rPr>
                <w:sz w:val="19"/>
              </w:rPr>
              <w:t>Chronic disease management</w:t>
            </w:r>
          </w:p>
        </w:tc>
        <w:tc>
          <w:tcPr>
            <w:tcW w:type="dxa" w:w="4536"/>
            <w:shd w:val="clear" w:color="auto" w:fill="FFFFFF"/>
          </w:tcPr>
          <w:p>
            <w:r>
              <w:rPr>
                <w:sz w:val="19"/>
              </w:rPr>
              <w:t>Covered with co-payment</w:t>
            </w:r>
          </w:p>
        </w:tc>
      </w:tr>
      <w:tr>
        <w:tc>
          <w:tcPr>
            <w:tcW w:type="dxa" w:w="4536"/>
            <w:shd w:val="clear" w:color="auto" w:fill="F4FAF7"/>
          </w:tcPr>
          <w:p>
            <w:r>
              <w:rPr>
                <w:sz w:val="19"/>
              </w:rPr>
              <w:t>Emergency care</w:t>
            </w:r>
          </w:p>
        </w:tc>
        <w:tc>
          <w:tcPr>
            <w:tcW w:type="dxa" w:w="4536"/>
            <w:shd w:val="clear" w:color="auto" w:fill="F4FAF7"/>
          </w:tcPr>
          <w:p>
            <w:r>
              <w:rPr>
                <w:sz w:val="19"/>
              </w:rPr>
              <w:t>Covered up to SHA emergency benefit limits</w:t>
            </w:r>
          </w:p>
        </w:tc>
      </w:tr>
    </w:tbl>
    <w:p/>
    <w:p>
      <w:pPr>
        <w:spacing w:before="160" w:after="40"/>
        <w:pBdr>
          <w:bottom w:val="single" w:sz="4" w:space="1" w:color="005F60"/>
        </w:pBdr>
      </w:pPr>
      <w:r>
        <w:rPr>
          <w:b/>
          <w:color w:val="005F60"/>
          <w:sz w:val="23"/>
        </w:rPr>
        <w:t>IF YOUR SHA CARD IS NOT WORKING</w:t>
      </w:r>
    </w:p>
    <w:p>
      <w:pPr>
        <w:pStyle w:val="ListBullet"/>
        <w:spacing w:after="40"/>
      </w:pPr>
      <w:r>
        <w:rPr>
          <w:sz w:val="21"/>
        </w:rPr>
        <w:t>Ensure your SHA registration is complete — visit any Huduma Centre to update registration.</w:t>
      </w:r>
    </w:p>
    <w:p>
      <w:pPr>
        <w:pStyle w:val="ListBullet"/>
        <w:spacing w:after="40"/>
      </w:pPr>
      <w:r>
        <w:rPr>
          <w:sz w:val="21"/>
        </w:rPr>
        <w:t>Ensure your SHIF contributions are up to date — check on the Afya Yangu app or SHA portal.</w:t>
      </w:r>
    </w:p>
    <w:p>
      <w:pPr>
        <w:pStyle w:val="ListBullet"/>
        <w:spacing w:after="40"/>
      </w:pPr>
      <w:r>
        <w:rPr>
          <w:sz w:val="21"/>
        </w:rPr>
        <w:t>If card is suspended: pay outstanding contributions at any Safaricom M-Pesa paybill 200222.</w:t>
      </w:r>
    </w:p>
    <w:p>
      <w:pPr>
        <w:pStyle w:val="ListBullet"/>
        <w:spacing w:after="40"/>
      </w:pPr>
      <w:r>
        <w:rPr>
          <w:sz w:val="21"/>
        </w:rPr>
        <w:t>Contact SHA call centre: 0800 723 904 (toll-free).</w:t>
      </w:r>
    </w:p>
    <w:p>
      <w:pPr>
        <w:pStyle w:val="ListBullet"/>
        <w:spacing w:after="40"/>
      </w:pPr>
      <w:r>
        <w:rPr>
          <w:sz w:val="21"/>
        </w:rPr>
        <w:t>If SHA cannot be verified at TFMC, you will be served on a cash basis and can seek SHA reimbursement separately.</w:t>
      </w:r>
    </w:p>
    <w:p>
      <w:pPr>
        <w:spacing w:after="60"/>
      </w:pPr>
      <w:r>
        <w:rPr>
          <w:b/>
          <w:color w:val="005F60"/>
          <w:sz w:val="21"/>
        </w:rPr>
        <w:t>For assistance with SHA at TFMC, speak to our Health Records Officer at registration or call 0715 923 231.</w:t>
      </w:r>
    </w:p>
    <w:p/>
    <w:p>
      <w:pPr>
        <w:pBdr>
          <w:bottom w:val="single" w:sz="4" w:space="1" w:color="D9EBE5"/>
        </w:pBdr>
      </w:pPr>
    </w:p>
    <w:p>
      <w:pPr>
        <w:jc w:val="center"/>
      </w:pPr>
      <w:r>
        <w:rPr>
          <w:i/>
          <w:color w:val="5A746F"/>
          <w:sz w:val="15"/>
        </w:rPr>
        <w:t>Tim's Family Medical Clinic Limited  |  Nairobi, Kenya  |  0715 923 231  |  info@tfmc.co.ke  |  17 May 2026</w:t>
      </w:r>
    </w:p>
    <w:sectPr w:rsidR="00FC693F" w:rsidRPr="0006063C" w:rsidSect="00034616">
      <w:pgSz w:w="11906" w:h="16838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